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4C0C" w14:textId="77777777" w:rsidR="009D1165" w:rsidRDefault="009D1165" w:rsidP="009D1165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– </w:t>
      </w:r>
      <w:r>
        <w:rPr>
          <w:rFonts w:ascii="Calibri"/>
          <w:sz w:val="24"/>
          <w:szCs w:val="24"/>
        </w:rPr>
        <w:t>Venezia, 29 novembre 2023</w:t>
      </w:r>
    </w:p>
    <w:p w14:paraId="24F852E9" w14:textId="77777777" w:rsidR="009D1165" w:rsidRPr="002C27CC" w:rsidRDefault="009D1165" w:rsidP="009D1165">
      <w:pPr>
        <w:rPr>
          <w:rFonts w:ascii="Arial" w:hAnsi="Arial" w:cs="Arial"/>
          <w:sz w:val="28"/>
          <w:szCs w:val="28"/>
          <w:u w:val="single"/>
        </w:rPr>
      </w:pPr>
    </w:p>
    <w:p w14:paraId="6591735C" w14:textId="77777777" w:rsidR="009D1165" w:rsidRPr="00D342F9" w:rsidRDefault="009D1165" w:rsidP="009D1165">
      <w:pPr>
        <w:pStyle w:val="Nessunaspaziatura"/>
        <w:jc w:val="center"/>
        <w:rPr>
          <w:rFonts w:ascii="Arial" w:hAnsi="Arial" w:cs="Arial"/>
          <w:sz w:val="32"/>
          <w:szCs w:val="32"/>
        </w:rPr>
      </w:pPr>
      <w:r w:rsidRPr="00D342F9">
        <w:rPr>
          <w:rFonts w:ascii="Arial" w:hAnsi="Arial" w:cs="Arial"/>
          <w:sz w:val="32"/>
          <w:szCs w:val="32"/>
        </w:rPr>
        <w:t>IL GOLFO ARABICO NUOVO ELDORADO</w:t>
      </w:r>
    </w:p>
    <w:p w14:paraId="18036B8A" w14:textId="77777777" w:rsidR="009D1165" w:rsidRDefault="009D1165" w:rsidP="009D1165">
      <w:pPr>
        <w:pStyle w:val="Nessunaspaziatura"/>
        <w:jc w:val="center"/>
        <w:rPr>
          <w:rFonts w:ascii="Arial" w:hAnsi="Arial" w:cs="Arial"/>
          <w:sz w:val="32"/>
          <w:szCs w:val="32"/>
        </w:rPr>
      </w:pPr>
      <w:r w:rsidRPr="00D342F9">
        <w:rPr>
          <w:rFonts w:ascii="Arial" w:hAnsi="Arial" w:cs="Arial"/>
          <w:sz w:val="32"/>
          <w:szCs w:val="32"/>
        </w:rPr>
        <w:t>PER IL TURISMO DEI SUPER YACHT</w:t>
      </w:r>
    </w:p>
    <w:p w14:paraId="56413BD0" w14:textId="77777777" w:rsidR="009D1165" w:rsidRDefault="009D1165" w:rsidP="009D1165">
      <w:pPr>
        <w:pStyle w:val="Nessunaspaziatura"/>
        <w:jc w:val="center"/>
        <w:rPr>
          <w:rFonts w:ascii="Arial" w:hAnsi="Arial" w:cs="Arial"/>
          <w:sz w:val="32"/>
          <w:szCs w:val="32"/>
        </w:rPr>
      </w:pPr>
    </w:p>
    <w:p w14:paraId="1FA07A9F" w14:textId="77777777" w:rsidR="009D1165" w:rsidRDefault="009D1165" w:rsidP="009D1165">
      <w:pPr>
        <w:pStyle w:val="Nessunaspaziatura"/>
        <w:jc w:val="center"/>
        <w:rPr>
          <w:rFonts w:ascii="Arial" w:hAnsi="Arial" w:cs="Arial"/>
          <w:sz w:val="24"/>
          <w:szCs w:val="24"/>
          <w:u w:val="single"/>
        </w:rPr>
      </w:pPr>
    </w:p>
    <w:p w14:paraId="6A8CFA5A" w14:textId="77777777" w:rsidR="009D1165" w:rsidRPr="005E6F99" w:rsidRDefault="009D1165" w:rsidP="009D1165">
      <w:pPr>
        <w:spacing w:line="235" w:lineRule="atLeast"/>
        <w:jc w:val="center"/>
        <w:rPr>
          <w:rFonts w:ascii="Arial" w:hAnsi="Arial" w:cs="Arial"/>
          <w:sz w:val="24"/>
          <w:szCs w:val="24"/>
          <w:u w:val="single"/>
        </w:rPr>
      </w:pPr>
      <w:r w:rsidRPr="00D342F9">
        <w:rPr>
          <w:rFonts w:ascii="Arial" w:hAnsi="Arial" w:cs="Arial"/>
          <w:sz w:val="24"/>
          <w:szCs w:val="24"/>
          <w:u w:val="single"/>
        </w:rPr>
        <w:t xml:space="preserve">Il gruppo veneziano Acquera al </w:t>
      </w:r>
      <w:proofErr w:type="spellStart"/>
      <w:r w:rsidRPr="00D342F9">
        <w:rPr>
          <w:rFonts w:ascii="Arial" w:hAnsi="Arial" w:cs="Arial"/>
          <w:sz w:val="24"/>
          <w:szCs w:val="24"/>
          <w:u w:val="single"/>
        </w:rPr>
        <w:t>Gulf</w:t>
      </w:r>
      <w:proofErr w:type="spellEnd"/>
      <w:r w:rsidRPr="00D342F9">
        <w:rPr>
          <w:rFonts w:ascii="Arial" w:hAnsi="Arial" w:cs="Arial"/>
          <w:sz w:val="24"/>
          <w:szCs w:val="24"/>
          <w:u w:val="single"/>
        </w:rPr>
        <w:t xml:space="preserve"> Superyac</w:t>
      </w:r>
      <w:r>
        <w:rPr>
          <w:rFonts w:ascii="Arial" w:hAnsi="Arial" w:cs="Arial"/>
          <w:sz w:val="24"/>
          <w:szCs w:val="24"/>
          <w:u w:val="single"/>
        </w:rPr>
        <w:t>h</w:t>
      </w:r>
      <w:r w:rsidRPr="00D342F9">
        <w:rPr>
          <w:rFonts w:ascii="Arial" w:hAnsi="Arial" w:cs="Arial"/>
          <w:sz w:val="24"/>
          <w:szCs w:val="24"/>
          <w:u w:val="single"/>
        </w:rPr>
        <w:t xml:space="preserve">t </w:t>
      </w:r>
      <w:r w:rsidRPr="005E6F99">
        <w:rPr>
          <w:rFonts w:ascii="Arial" w:hAnsi="Arial" w:cs="Arial"/>
          <w:sz w:val="24"/>
          <w:szCs w:val="24"/>
          <w:u w:val="single"/>
        </w:rPr>
        <w:t>Summit di Abu Dhabi</w:t>
      </w:r>
      <w:r w:rsidRPr="005E6F99">
        <w:rPr>
          <w:rStyle w:val="Rimandocommento"/>
          <w:u w:val="single"/>
        </w:rPr>
        <w:t xml:space="preserve">. </w:t>
      </w:r>
      <w:r w:rsidRPr="005E6F99">
        <w:rPr>
          <w:rFonts w:ascii="Arial" w:hAnsi="Arial" w:cs="Arial"/>
          <w:sz w:val="24"/>
          <w:szCs w:val="24"/>
          <w:u w:val="single"/>
        </w:rPr>
        <w:t>Nel mercato del Medio Oriente, degli Emirati e dell’Arabia Saudita, navigano già 140 imbarcazioni di lusso</w:t>
      </w:r>
    </w:p>
    <w:p w14:paraId="3D6D51AC" w14:textId="77777777" w:rsidR="009D1165" w:rsidRPr="008E47D9" w:rsidRDefault="009D1165" w:rsidP="009D1165">
      <w:pPr>
        <w:spacing w:line="235" w:lineRule="atLeast"/>
        <w:jc w:val="right"/>
        <w:rPr>
          <w:rFonts w:ascii="Arial" w:eastAsia="Times New Roman" w:hAnsi="Arial" w:cs="Arial"/>
          <w:bCs/>
          <w:sz w:val="24"/>
          <w:szCs w:val="24"/>
        </w:rPr>
      </w:pPr>
    </w:p>
    <w:p w14:paraId="25E2FA72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Il gruppo veneziano Acquera dopo aver fondato a Dubai Acquera Middle East in partnership con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Inchcape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>, ha presentato nei giorni scorsi a</w:t>
      </w:r>
      <w:r>
        <w:rPr>
          <w:rFonts w:ascii="Arial" w:eastAsia="Times New Roman" w:hAnsi="Arial" w:cs="Arial"/>
          <w:sz w:val="24"/>
          <w:szCs w:val="24"/>
          <w:lang w:eastAsia="it-CH"/>
        </w:rPr>
        <w:t>d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Abu Dhabi un progetto integrato per lo sviluppo del turismo nel Medio Oriente e nell’area del Golfo Arabico. Obiettivo replicare le formule della vacanza top class, ponendo a fattor comune destinazioni ed esperienze ancora vergini in un’area e in mercati con un enorme potenziale di crescita.</w:t>
      </w:r>
    </w:p>
    <w:p w14:paraId="0FAE9B6B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La chiave per aprire questi mercati è la nautica di alta gamma, i superyacht 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sono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destinati a diventare – secondo quanto illustrato da Stefano Tositti, Ceo del gruppo Acquera in occasione del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Gulf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Superyacht Summit svoltosi in Abu Dhabi 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di cui Acquera era Gold Sponsor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– i drivers di un nuovo turismo che ha enormi potenzialità di crescita. </w:t>
      </w:r>
    </w:p>
    <w:p w14:paraId="388D0D98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>Secondo i dati scaturiti alla conferenza di Abu Dhabi,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140 superyacht hanno navigato quest’anno nelle acque del Golfo Arabico, ma ad accendere tutti i riflettori su questo mercato sono i tempi di crescita: nel 2017 solo 66 yacht di lunghezza superiore ai 30 metri avevano operato nel Golfo. </w:t>
      </w:r>
      <w:r>
        <w:rPr>
          <w:rFonts w:ascii="Arial" w:eastAsia="Times New Roman" w:hAnsi="Arial" w:cs="Arial"/>
          <w:sz w:val="24"/>
          <w:szCs w:val="24"/>
          <w:lang w:eastAsia="it-CH"/>
        </w:rPr>
        <w:t>Nel 2021 grazie a una crescita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del 41% il numero delle barche di superlusso era balzato a quota 93 per superare 140 unità nell’anno in corso e una proiezione ancora più accelerata di sviluppo.</w:t>
      </w:r>
    </w:p>
    <w:p w14:paraId="164F6321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>Acquera Middle East, si pone come obiettivo primario quello di offrire a questo nuovo mercato una rete di servizi allo yachtin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g di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alto livello nell’intera regione del Medio Oriente, valorizzando alcune destinazioni di fatto vergini per il mercato turistico come l’arcipelago delle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Sindalah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Islands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o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Neom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in Arabia Saudita.</w:t>
      </w:r>
    </w:p>
    <w:p w14:paraId="7E9A9378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>Acquera, con base a Venezia, è gruppo leader nel settore della nautica da diporto e recentemente ha lanciato sul mercato la prima piattaforma web in grado di fornire a ogni singola imbarcazione da diporto una gamma di informazioni tecniche e operative nonché turistiche che già oggi connettono circa un migliaio di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 destinazioni nel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Mediterraneo e che coprirà anche il mercato mediorientale.</w:t>
      </w:r>
    </w:p>
    <w:p w14:paraId="0B18626D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Acquera Middle East si avvarrà quindi di AYPRO, l'innovativa piattaforma operativa </w:t>
      </w:r>
      <w:r w:rsidRPr="003F7B4B">
        <w:rPr>
          <w:rFonts w:ascii="Arial" w:eastAsia="Times New Roman" w:hAnsi="Arial" w:cs="Arial"/>
          <w:sz w:val="24"/>
          <w:szCs w:val="24"/>
          <w:lang w:eastAsia="it-CH"/>
        </w:rPr>
        <w:t>ER</w:t>
      </w:r>
      <w:r w:rsidRPr="00831635">
        <w:rPr>
          <w:rFonts w:ascii="Arial" w:eastAsia="Times New Roman" w:hAnsi="Arial" w:cs="Arial"/>
          <w:sz w:val="24"/>
          <w:szCs w:val="24"/>
          <w:lang w:eastAsia="it-CH"/>
        </w:rPr>
        <w:t>P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dell'azienda</w:t>
      </w:r>
      <w:r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n grado di snellire i processi e migliorare l'efficienza anche nel campo delle rimesse finanziarie.</w:t>
      </w:r>
    </w:p>
    <w:p w14:paraId="41849E94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lastRenderedPageBreak/>
        <w:t xml:space="preserve">Parallelamente </w:t>
      </w:r>
      <w:proofErr w:type="spellStart"/>
      <w:r w:rsidRPr="003F7B4B">
        <w:rPr>
          <w:rFonts w:ascii="Arial" w:eastAsia="Times New Roman" w:hAnsi="Arial" w:cs="Arial"/>
          <w:sz w:val="24"/>
          <w:szCs w:val="24"/>
          <w:lang w:eastAsia="it-CH"/>
        </w:rPr>
        <w:t>AcqueraPro</w:t>
      </w:r>
      <w:proofErr w:type="spellEnd"/>
      <w:r w:rsidRPr="003F7B4B"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CH"/>
        </w:rPr>
        <w:t>(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la piattaforma web già utilizzata da un numero crescente di imbarcazioni in Mediterraneo e pronta a operare</w:t>
      </w:r>
      <w:r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con un servizio dedicato</w:t>
      </w:r>
      <w:r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sulle rotte del Golfo 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già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a partire da metà dicembre</w:t>
      </w:r>
      <w:r>
        <w:rPr>
          <w:rFonts w:ascii="Arial" w:eastAsia="Times New Roman" w:hAnsi="Arial" w:cs="Arial"/>
          <w:sz w:val="24"/>
          <w:szCs w:val="24"/>
          <w:lang w:eastAsia="it-CH"/>
        </w:rPr>
        <w:t>)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, non solo faciliterà le 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operazioni 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doganali, le pratiche burocratiche e l’interfaccia fra bordo e ormeggi; promuoverà anche il fascino e le attrazioni uniche dei vari territori del Medio Oriente e della penisola arabica,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 attraverso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CH"/>
        </w:rPr>
        <w:t>u</w:t>
      </w:r>
      <w:r w:rsidRPr="00D342F9">
        <w:rPr>
          <w:rFonts w:ascii="Arial" w:eastAsia="Times New Roman" w:hAnsi="Arial" w:cs="Arial"/>
          <w:sz w:val="24"/>
          <w:szCs w:val="24"/>
          <w:lang w:eastAsia="it-CH"/>
        </w:rPr>
        <w:t>na intensa attività di marketing turistico.</w:t>
      </w:r>
    </w:p>
    <w:p w14:paraId="17C46956" w14:textId="77777777" w:rsidR="009D1165" w:rsidRPr="00D342F9" w:rsidRDefault="009D1165" w:rsidP="009D1165">
      <w:pPr>
        <w:spacing w:line="235" w:lineRule="atLeast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Sede centrale di Acquera in Medio Oriente è Dubai, con una direzione operativa affidata a un manager già ben conosciuto sul mercato medio-orientale,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Thanura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proofErr w:type="spellStart"/>
      <w:r w:rsidRPr="00D342F9">
        <w:rPr>
          <w:rFonts w:ascii="Arial" w:eastAsia="Times New Roman" w:hAnsi="Arial" w:cs="Arial"/>
          <w:sz w:val="24"/>
          <w:szCs w:val="24"/>
          <w:lang w:eastAsia="it-CH"/>
        </w:rPr>
        <w:t>Dissanayake</w:t>
      </w:r>
      <w:proofErr w:type="spellEnd"/>
      <w:r w:rsidRPr="00D342F9">
        <w:rPr>
          <w:rFonts w:ascii="Arial" w:eastAsia="Times New Roman" w:hAnsi="Arial" w:cs="Arial"/>
          <w:sz w:val="24"/>
          <w:szCs w:val="24"/>
          <w:lang w:eastAsia="it-CH"/>
        </w:rPr>
        <w:t>.</w:t>
      </w:r>
    </w:p>
    <w:p w14:paraId="6509CC5A" w14:textId="77777777" w:rsidR="009D1165" w:rsidRPr="00024D5B" w:rsidRDefault="009D1165" w:rsidP="009D1165">
      <w:pPr>
        <w:spacing w:line="235" w:lineRule="atLeast"/>
        <w:jc w:val="both"/>
        <w:rPr>
          <w:rStyle w:val="Enfasigrassetto"/>
          <w:rFonts w:ascii="Arial" w:hAnsi="Arial" w:cs="Arial"/>
          <w:color w:val="666666"/>
          <w:sz w:val="24"/>
          <w:szCs w:val="24"/>
          <w:bdr w:val="none" w:sz="0" w:space="0" w:color="auto" w:frame="1"/>
        </w:rPr>
      </w:pPr>
      <w:r w:rsidRPr="00D342F9">
        <w:rPr>
          <w:rFonts w:ascii="Arial" w:eastAsia="Times New Roman" w:hAnsi="Arial" w:cs="Arial"/>
          <w:sz w:val="24"/>
          <w:szCs w:val="24"/>
          <w:lang w:eastAsia="it-CH"/>
        </w:rPr>
        <w:t>Acquera Middle East fungerà da centro di coordinamento finalizzato a supervisionare le operazioni locali in diversi territori chiave, tra cui Egitto, Arabia Saudita, Oman, Bahrain, Qatar, Dubai e Abu Dhabi e a mettere a disposizione dei proprietari e operatori di grandi yacht una rete di servizi ad alta affidabilità.</w:t>
      </w:r>
    </w:p>
    <w:p w14:paraId="43F176CE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21679C12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1EDB3336" w14:textId="77777777" w:rsidR="009D1165" w:rsidRPr="00024D5B" w:rsidRDefault="009D1165" w:rsidP="009D116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it-CH"/>
        </w:rPr>
      </w:pPr>
    </w:p>
    <w:p w14:paraId="5A485BD5" w14:textId="77777777" w:rsidR="009D1165" w:rsidRDefault="009D1165" w:rsidP="009D1165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4F7E395" w14:textId="77777777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4E27F81" w14:textId="77777777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1042506F" w14:textId="77777777" w:rsidR="009D1165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5B145A42" w14:textId="77777777" w:rsidR="009D1165" w:rsidRPr="00E369AF" w:rsidRDefault="009D1165" w:rsidP="009D1165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E9D1E82" w14:textId="5B52A308" w:rsidR="27239E0B" w:rsidRDefault="27239E0B" w:rsidP="27239E0B">
      <w:pPr>
        <w:spacing w:before="120" w:after="0"/>
      </w:pPr>
    </w:p>
    <w:sectPr w:rsidR="27239E0B" w:rsidSect="003B38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9E28" w14:textId="77777777" w:rsidR="00187B25" w:rsidRDefault="00187B25" w:rsidP="00894C12">
      <w:pPr>
        <w:spacing w:after="0" w:line="240" w:lineRule="auto"/>
      </w:pPr>
      <w:r>
        <w:separator/>
      </w:r>
    </w:p>
  </w:endnote>
  <w:endnote w:type="continuationSeparator" w:id="0">
    <w:p w14:paraId="21BA0140" w14:textId="77777777" w:rsidR="00187B25" w:rsidRDefault="00187B25" w:rsidP="0089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F682" w14:textId="77777777" w:rsidR="00846655" w:rsidRDefault="008466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83EF" w14:textId="758ECD45" w:rsidR="003B3891" w:rsidRDefault="00000000">
    <w:pPr>
      <w:pStyle w:val="Pidipagina"/>
    </w:pPr>
    <w:hyperlink r:id="rId1" w:history="1">
      <w:r w:rsidR="00846655" w:rsidRPr="008B3ECA">
        <w:rPr>
          <w:rStyle w:val="Collegamentoipertestuale"/>
        </w:rPr>
        <w:t>https://www.acquerayachting.com/</w:t>
      </w:r>
    </w:hyperlink>
  </w:p>
  <w:p w14:paraId="1402038C" w14:textId="61E7AD43" w:rsidR="00846655" w:rsidRDefault="00000000">
    <w:pPr>
      <w:pStyle w:val="Pidipagina"/>
      <w:rPr>
        <w:lang w:val="en-US"/>
      </w:rPr>
    </w:pPr>
    <w:hyperlink r:id="rId2" w:history="1">
      <w:r w:rsidR="00846655" w:rsidRPr="008B3ECA">
        <w:rPr>
          <w:rStyle w:val="Collegamentoipertestuale"/>
          <w:lang w:val="en-US"/>
        </w:rPr>
        <w:t>media@acquera.com</w:t>
      </w:r>
    </w:hyperlink>
  </w:p>
  <w:p w14:paraId="44B02840" w14:textId="7ABDBA6D" w:rsidR="00846655" w:rsidRPr="00846655" w:rsidRDefault="00846655">
    <w:pPr>
      <w:pStyle w:val="Pidipagina"/>
      <w:rPr>
        <w:lang w:val="en-US"/>
      </w:rPr>
    </w:pPr>
    <w:r>
      <w:rPr>
        <w:lang w:val="en-US"/>
      </w:rPr>
      <w:t>+39 3384388530</w:t>
    </w:r>
  </w:p>
  <w:p w14:paraId="298AC7BD" w14:textId="1ECBF12E" w:rsidR="00894C12" w:rsidRPr="00846655" w:rsidRDefault="00894C12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965D" w14:textId="77777777" w:rsidR="00846655" w:rsidRDefault="008466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C090" w14:textId="77777777" w:rsidR="00187B25" w:rsidRDefault="00187B25" w:rsidP="00894C12">
      <w:pPr>
        <w:spacing w:after="0" w:line="240" w:lineRule="auto"/>
      </w:pPr>
      <w:r>
        <w:separator/>
      </w:r>
    </w:p>
  </w:footnote>
  <w:footnote w:type="continuationSeparator" w:id="0">
    <w:p w14:paraId="7FDF861E" w14:textId="77777777" w:rsidR="00187B25" w:rsidRDefault="00187B25" w:rsidP="00894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A986" w14:textId="77777777" w:rsidR="00846655" w:rsidRDefault="008466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BDC3" w14:textId="7AD710B0" w:rsidR="003B3891" w:rsidRDefault="00894C12" w:rsidP="00894C12">
    <w:pPr>
      <w:pStyle w:val="NormaleWeb"/>
      <w:shd w:val="clear" w:color="auto" w:fill="FFFFFF"/>
      <w:spacing w:before="0" w:beforeAutospacing="0" w:after="0" w:afterAutospacing="0"/>
    </w:pPr>
    <w:r>
      <w:t xml:space="preserve">                                           </w:t>
    </w:r>
    <w:r w:rsidR="003B3891">
      <w:t xml:space="preserve">                                                                       </w:t>
    </w:r>
  </w:p>
  <w:p w14:paraId="2D600E6C" w14:textId="27A82D38" w:rsidR="00894C12" w:rsidRDefault="003B3891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380F58" wp14:editId="7DEEA9EF">
          <wp:simplePos x="0" y="0"/>
          <wp:positionH relativeFrom="margin">
            <wp:posOffset>-27305</wp:posOffset>
          </wp:positionH>
          <wp:positionV relativeFrom="paragraph">
            <wp:posOffset>106680</wp:posOffset>
          </wp:positionV>
          <wp:extent cx="2817495" cy="838200"/>
          <wp:effectExtent l="0" t="0" r="1905" b="0"/>
          <wp:wrapSquare wrapText="bothSides"/>
          <wp:docPr id="8164049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9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</w:t>
    </w:r>
    <w:r w:rsidR="00894C12">
      <w:t xml:space="preserve"> </w:t>
    </w:r>
    <w:r>
      <w:br/>
      <w:t xml:space="preserve">                                            </w:t>
    </w:r>
    <w:r w:rsidR="00894C12">
      <w:rPr>
        <w:rStyle w:val="mark24p6y8m22"/>
        <w:rFonts w:ascii="Calibri" w:hAnsi="Calibri" w:cs="Calibri"/>
        <w:color w:val="222222"/>
        <w:sz w:val="22"/>
        <w:szCs w:val="22"/>
        <w:bdr w:val="none" w:sz="0" w:space="0" w:color="auto" w:frame="1"/>
      </w:rPr>
      <w:t>ACQ</w:t>
    </w:r>
    <w:r w:rsidR="00894C12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 </w:t>
    </w:r>
    <w:r w:rsidR="00894C12">
      <w:rPr>
        <w:rStyle w:val="mark5dpe1kztq"/>
        <w:rFonts w:ascii="Calibri" w:hAnsi="Calibri" w:cs="Calibri"/>
        <w:color w:val="222222"/>
        <w:sz w:val="22"/>
        <w:szCs w:val="22"/>
        <w:bdr w:val="none" w:sz="0" w:space="0" w:color="auto" w:frame="1"/>
      </w:rPr>
      <w:t>SERVICES</w:t>
    </w:r>
    <w:r w:rsidR="00894C12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 SRL</w:t>
    </w:r>
  </w:p>
  <w:p w14:paraId="5915FEC7" w14:textId="5B71591E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</w:t>
    </w:r>
    <w:r w:rsidR="003B3891"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</w:t>
    </w:r>
    <w:proofErr w:type="gramStart"/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S.MARTA</w:t>
    </w:r>
    <w:proofErr w:type="gramEnd"/>
    <w:r>
      <w:rPr>
        <w:rFonts w:ascii="Calibri" w:hAnsi="Calibri" w:cs="Calibri"/>
        <w:color w:val="424242"/>
        <w:sz w:val="22"/>
        <w:szCs w:val="22"/>
      </w:rPr>
      <w:t> 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>FABBRICATO 17</w:t>
    </w:r>
  </w:p>
  <w:p w14:paraId="3BDC0550" w14:textId="20E49333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      30123 VENEZIA</w:t>
    </w:r>
  </w:p>
  <w:p w14:paraId="02C4B2EC" w14:textId="326B0AE6" w:rsidR="00894C12" w:rsidRDefault="00894C12" w:rsidP="00894C12">
    <w:pPr>
      <w:pStyle w:val="NormaleWeb"/>
      <w:shd w:val="clear" w:color="auto" w:fill="FFFFFF"/>
      <w:spacing w:before="0" w:beforeAutospacing="0" w:after="0" w:afterAutospacing="0"/>
      <w:rPr>
        <w:rFonts w:ascii="Calibri" w:hAnsi="Calibri" w:cs="Calibri"/>
        <w:color w:val="424242"/>
        <w:sz w:val="22"/>
        <w:szCs w:val="22"/>
      </w:rPr>
    </w:pP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                                                    P.</w:t>
    </w:r>
    <w:r>
      <w:rPr>
        <w:rStyle w:val="markzepln9b8g"/>
        <w:rFonts w:ascii="Calibri" w:hAnsi="Calibri" w:cs="Calibri"/>
        <w:color w:val="222222"/>
        <w:sz w:val="22"/>
        <w:szCs w:val="22"/>
        <w:bdr w:val="none" w:sz="0" w:space="0" w:color="auto" w:frame="1"/>
      </w:rPr>
      <w:t>IVA</w:t>
    </w:r>
    <w:r>
      <w:rPr>
        <w:rFonts w:ascii="Calibri" w:hAnsi="Calibri" w:cs="Calibri"/>
        <w:color w:val="222222"/>
        <w:sz w:val="22"/>
        <w:szCs w:val="22"/>
        <w:bdr w:val="none" w:sz="0" w:space="0" w:color="auto" w:frame="1"/>
      </w:rPr>
      <w:t xml:space="preserve"> 04660210271</w:t>
    </w:r>
  </w:p>
  <w:p w14:paraId="706A5F8F" w14:textId="4F10A794" w:rsidR="00894C12" w:rsidRDefault="00894C12">
    <w:pPr>
      <w:pStyle w:val="Intestazione"/>
    </w:pPr>
  </w:p>
  <w:p w14:paraId="320FEB0E" w14:textId="77777777" w:rsidR="00894C12" w:rsidRDefault="00894C1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2CDD" w14:textId="77777777" w:rsidR="00846655" w:rsidRDefault="0084665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12"/>
    <w:rsid w:val="00187B25"/>
    <w:rsid w:val="00250463"/>
    <w:rsid w:val="003B3891"/>
    <w:rsid w:val="0058641A"/>
    <w:rsid w:val="00846655"/>
    <w:rsid w:val="00894C12"/>
    <w:rsid w:val="008B6B0C"/>
    <w:rsid w:val="008C4567"/>
    <w:rsid w:val="009033B6"/>
    <w:rsid w:val="009205E1"/>
    <w:rsid w:val="00944BBF"/>
    <w:rsid w:val="009D1165"/>
    <w:rsid w:val="009D55EB"/>
    <w:rsid w:val="00A256C5"/>
    <w:rsid w:val="00D75203"/>
    <w:rsid w:val="00DA65B5"/>
    <w:rsid w:val="00DE517E"/>
    <w:rsid w:val="27239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5E63D"/>
  <w15:chartTrackingRefBased/>
  <w15:docId w15:val="{FC315541-B707-4B20-A1E6-4AE4ABDD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C12"/>
  </w:style>
  <w:style w:type="paragraph" w:styleId="Pidipagina">
    <w:name w:val="footer"/>
    <w:basedOn w:val="Normale"/>
    <w:link w:val="PidipaginaCarattere"/>
    <w:uiPriority w:val="99"/>
    <w:unhideWhenUsed/>
    <w:rsid w:val="00894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C12"/>
  </w:style>
  <w:style w:type="paragraph" w:styleId="NormaleWeb">
    <w:name w:val="Normal (Web)"/>
    <w:basedOn w:val="Normale"/>
    <w:uiPriority w:val="99"/>
    <w:semiHidden/>
    <w:unhideWhenUsed/>
    <w:rsid w:val="0089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24p6y8m22">
    <w:name w:val="mark24p6y8m22"/>
    <w:basedOn w:val="Carpredefinitoparagrafo"/>
    <w:rsid w:val="00894C12"/>
  </w:style>
  <w:style w:type="character" w:customStyle="1" w:styleId="mark5dpe1kztq">
    <w:name w:val="mark5dpe1kztq"/>
    <w:basedOn w:val="Carpredefinitoparagrafo"/>
    <w:rsid w:val="00894C12"/>
  </w:style>
  <w:style w:type="character" w:customStyle="1" w:styleId="markzepln9b8g">
    <w:name w:val="markzepln9b8g"/>
    <w:basedOn w:val="Carpredefinitoparagrafo"/>
    <w:rsid w:val="00894C12"/>
  </w:style>
  <w:style w:type="character" w:styleId="Collegamentoipertestuale">
    <w:name w:val="Hyperlink"/>
    <w:basedOn w:val="Carpredefinitoparagrafo"/>
    <w:uiPriority w:val="99"/>
    <w:unhideWhenUsed/>
    <w:rsid w:val="008466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665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641A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9D1165"/>
    <w:pPr>
      <w:spacing w:after="0" w:line="240" w:lineRule="auto"/>
    </w:pPr>
    <w:rPr>
      <w:rFonts w:ascii="Campton-Light" w:hAnsi="Campton-Light"/>
    </w:rPr>
  </w:style>
  <w:style w:type="character" w:styleId="Enfasigrassetto">
    <w:name w:val="Strong"/>
    <w:basedOn w:val="Carpredefinitoparagrafo"/>
    <w:uiPriority w:val="22"/>
    <w:qFormat/>
    <w:rsid w:val="009D1165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9D116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dia@acquera.com" TargetMode="External"/><Relationship Id="rId1" Type="http://schemas.openxmlformats.org/officeDocument/2006/relationships/hyperlink" Target="https://www.acquerayachting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Tizian - Acquera Group</dc:creator>
  <cp:keywords/>
  <dc:description/>
  <cp:lastModifiedBy>info starcomunicazione</cp:lastModifiedBy>
  <cp:revision>2</cp:revision>
  <dcterms:created xsi:type="dcterms:W3CDTF">2023-11-29T10:16:00Z</dcterms:created>
  <dcterms:modified xsi:type="dcterms:W3CDTF">2023-11-29T10:16:00Z</dcterms:modified>
</cp:coreProperties>
</file>