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C29F1" w14:textId="77777777" w:rsidR="00ED5678" w:rsidRPr="00ED5678" w:rsidRDefault="00ED5678" w:rsidP="00ED5678">
      <w:pPr>
        <w:jc w:val="center"/>
        <w:rPr>
          <w:rFonts w:ascii="Arial" w:hAnsi="Arial" w:cs="Arial"/>
          <w:sz w:val="28"/>
          <w:szCs w:val="28"/>
        </w:rPr>
      </w:pPr>
      <w:r w:rsidRPr="00ED5678">
        <w:rPr>
          <w:rFonts w:ascii="Arial" w:hAnsi="Arial" w:cs="Arial"/>
          <w:sz w:val="28"/>
          <w:szCs w:val="28"/>
        </w:rPr>
        <w:t>Denuncia del Comitato San Cristoforo</w:t>
      </w:r>
    </w:p>
    <w:p w14:paraId="0F01F365" w14:textId="77777777" w:rsidR="00ED5678" w:rsidRPr="00ED5678" w:rsidRDefault="00ED5678" w:rsidP="00ED5678">
      <w:pPr>
        <w:jc w:val="center"/>
        <w:rPr>
          <w:rFonts w:ascii="Arial" w:hAnsi="Arial" w:cs="Arial"/>
          <w:sz w:val="36"/>
          <w:szCs w:val="36"/>
        </w:rPr>
      </w:pPr>
    </w:p>
    <w:p w14:paraId="2B5B088E" w14:textId="77777777" w:rsidR="004F58C4" w:rsidRPr="004F58C4" w:rsidRDefault="004F58C4" w:rsidP="004F58C4">
      <w:pPr>
        <w:jc w:val="center"/>
        <w:rPr>
          <w:rFonts w:ascii="Arial" w:hAnsi="Arial" w:cs="Arial"/>
          <w:sz w:val="36"/>
          <w:szCs w:val="36"/>
        </w:rPr>
      </w:pPr>
      <w:r w:rsidRPr="004F58C4">
        <w:rPr>
          <w:rFonts w:ascii="Arial" w:hAnsi="Arial" w:cs="Arial"/>
          <w:sz w:val="36"/>
          <w:szCs w:val="36"/>
        </w:rPr>
        <w:t>Silenzio totale sul “pasticciaccio brutto”</w:t>
      </w:r>
    </w:p>
    <w:p w14:paraId="38805F07" w14:textId="3A3B60C7" w:rsidR="00ED5678" w:rsidRDefault="004F58C4" w:rsidP="004F58C4">
      <w:pPr>
        <w:jc w:val="center"/>
        <w:rPr>
          <w:rFonts w:ascii="Arial" w:hAnsi="Arial" w:cs="Arial"/>
          <w:sz w:val="36"/>
          <w:szCs w:val="36"/>
        </w:rPr>
      </w:pPr>
      <w:r w:rsidRPr="004F58C4">
        <w:rPr>
          <w:rFonts w:ascii="Arial" w:hAnsi="Arial" w:cs="Arial"/>
          <w:sz w:val="36"/>
          <w:szCs w:val="36"/>
        </w:rPr>
        <w:t>della vendita di Aspi ad Atlantia</w:t>
      </w:r>
    </w:p>
    <w:p w14:paraId="12FC7CDA" w14:textId="77777777" w:rsidR="004F58C4" w:rsidRPr="001F3633" w:rsidRDefault="004F58C4" w:rsidP="004F58C4">
      <w:pPr>
        <w:jc w:val="center"/>
        <w:rPr>
          <w:rFonts w:ascii="Arial" w:hAnsi="Arial" w:cs="Arial"/>
          <w:sz w:val="24"/>
          <w:szCs w:val="24"/>
        </w:rPr>
      </w:pPr>
    </w:p>
    <w:p w14:paraId="134CE278" w14:textId="32D8ACD8" w:rsidR="004F58C4" w:rsidRPr="004F58C4" w:rsidRDefault="004F58C4" w:rsidP="004F58C4">
      <w:pPr>
        <w:jc w:val="both"/>
        <w:rPr>
          <w:rFonts w:ascii="Arial" w:hAnsi="Arial" w:cs="Arial"/>
          <w:sz w:val="24"/>
          <w:szCs w:val="24"/>
        </w:rPr>
      </w:pPr>
      <w:r w:rsidRPr="004F58C4">
        <w:rPr>
          <w:rFonts w:ascii="Arial" w:hAnsi="Arial" w:cs="Arial"/>
          <w:sz w:val="24"/>
          <w:szCs w:val="24"/>
        </w:rPr>
        <w:t>La presa di posizione dell’ex Ad di Autostrade per l’Italia, Giovanni Castellucci, che si è autodefinito vittima di persecuzioni, è un insulto in primis per i morti del crollo del Ponte Morandi, ma è anche un monito che non può non essere ascoltato: i centri di potere economico</w:t>
      </w:r>
      <w:r>
        <w:rPr>
          <w:rFonts w:ascii="Arial" w:hAnsi="Arial" w:cs="Arial"/>
          <w:sz w:val="24"/>
          <w:szCs w:val="24"/>
        </w:rPr>
        <w:t>,</w:t>
      </w:r>
      <w:r w:rsidRPr="004F58C4">
        <w:rPr>
          <w:rFonts w:ascii="Arial" w:hAnsi="Arial" w:cs="Arial"/>
          <w:sz w:val="24"/>
          <w:szCs w:val="24"/>
        </w:rPr>
        <w:t xml:space="preserve"> che dominano il Paese e che vantano larghe connivenze nella politica e nella comunicazione, sono sempre vivi e vegeti. Solo scelte esemplari, come quella relativa al sequestro di Aspi e alla conferma di un comportamento finanziariamente, societariamente ed eticamente del tutto scorretto sfociato nell’utilizzo dei pedaggi per finanziare a costo zero l’acquisto di Aspi da parte di Atlantia, potranno fornire al Paese la prova che qualcosa può cambiare e sta cambiando.</w:t>
      </w:r>
    </w:p>
    <w:p w14:paraId="0798D656" w14:textId="6467951B" w:rsidR="004F58C4" w:rsidRPr="004F58C4" w:rsidRDefault="004F58C4" w:rsidP="004F58C4">
      <w:pPr>
        <w:jc w:val="both"/>
        <w:rPr>
          <w:rFonts w:ascii="Arial" w:hAnsi="Arial" w:cs="Arial"/>
          <w:sz w:val="24"/>
          <w:szCs w:val="24"/>
        </w:rPr>
      </w:pPr>
      <w:r w:rsidRPr="004F58C4">
        <w:rPr>
          <w:rFonts w:ascii="Arial" w:hAnsi="Arial" w:cs="Arial"/>
          <w:sz w:val="24"/>
          <w:szCs w:val="24"/>
        </w:rPr>
        <w:t xml:space="preserve">Ad esprimersi così sono i vertici del Comitato San Cristoforo, che rappresenta autotrasportatori, imprese artigiane, terminalisti portuali che sono scesi in campo oggi sollecitando un intervento risolutivo e coraggioso della magistratura sul ricorso presentato dallo stesso Comitato e per altro “avvallato” dalla Commissione </w:t>
      </w:r>
      <w:r>
        <w:rPr>
          <w:rFonts w:ascii="Arial" w:hAnsi="Arial" w:cs="Arial"/>
          <w:sz w:val="24"/>
          <w:szCs w:val="24"/>
        </w:rPr>
        <w:t>E</w:t>
      </w:r>
      <w:r w:rsidRPr="004F58C4">
        <w:rPr>
          <w:rFonts w:ascii="Arial" w:hAnsi="Arial" w:cs="Arial"/>
          <w:sz w:val="24"/>
          <w:szCs w:val="24"/>
        </w:rPr>
        <w:t>uropea.</w:t>
      </w:r>
    </w:p>
    <w:p w14:paraId="0D635253" w14:textId="0C454B0A" w:rsidR="004F58C4" w:rsidRPr="004F58C4" w:rsidRDefault="004F58C4" w:rsidP="004F58C4">
      <w:pPr>
        <w:jc w:val="both"/>
        <w:rPr>
          <w:rFonts w:ascii="Arial" w:hAnsi="Arial" w:cs="Arial"/>
          <w:sz w:val="24"/>
          <w:szCs w:val="24"/>
        </w:rPr>
      </w:pPr>
      <w:r w:rsidRPr="004F58C4">
        <w:rPr>
          <w:rFonts w:ascii="Arial" w:hAnsi="Arial" w:cs="Arial"/>
          <w:sz w:val="24"/>
          <w:szCs w:val="24"/>
        </w:rPr>
        <w:t xml:space="preserve">“Combattiamo – afferma Giuseppe Tagnochetti, coordinatore di </w:t>
      </w:r>
      <w:proofErr w:type="spellStart"/>
      <w:r w:rsidRPr="004F58C4">
        <w:rPr>
          <w:rFonts w:ascii="Arial" w:hAnsi="Arial" w:cs="Arial"/>
          <w:sz w:val="24"/>
          <w:szCs w:val="24"/>
        </w:rPr>
        <w:t>Trasportounito</w:t>
      </w:r>
      <w:proofErr w:type="spellEnd"/>
      <w:r w:rsidRPr="004F58C4">
        <w:rPr>
          <w:rFonts w:ascii="Arial" w:hAnsi="Arial" w:cs="Arial"/>
          <w:sz w:val="24"/>
          <w:szCs w:val="24"/>
        </w:rPr>
        <w:t xml:space="preserve"> – contro un gigantesco muro di gomma che all’insegna del potere ha l’effetto di oscurare anche le delibere dell’Unione europea, se queste non fanno comodo. L’operazione che ha decretato l’acquisto di Aspi da parte di Cassa Depositi e Prestiti, che consisterebbe nel pagare tre volte il conto di servizi non resi, al concessionario Atlantia, prima o poi finirà sotto la lente di qualcuno che abbia il coraggio di dimostrare che esiste ancora una legalità nel nostro sistema Paese. In quel momento noi ci saremo”.</w:t>
      </w:r>
    </w:p>
    <w:p w14:paraId="3659ECA8" w14:textId="5FFBC7C5" w:rsidR="004F58C4" w:rsidRPr="004F58C4" w:rsidRDefault="004F58C4" w:rsidP="004F58C4">
      <w:pPr>
        <w:jc w:val="both"/>
        <w:rPr>
          <w:rFonts w:ascii="Arial" w:hAnsi="Arial" w:cs="Arial"/>
          <w:sz w:val="24"/>
          <w:szCs w:val="24"/>
        </w:rPr>
      </w:pPr>
      <w:r w:rsidRPr="004F58C4">
        <w:rPr>
          <w:rFonts w:ascii="Arial" w:hAnsi="Arial" w:cs="Arial"/>
          <w:sz w:val="24"/>
          <w:szCs w:val="24"/>
        </w:rPr>
        <w:t>“Se passerà questo metodo – afferma Barbara Banchero, segretario di CNA Genova – e se Cassa Depositi e Prestiti diventerà lo scudo di copertura di queste operazioni, ogni concessionario di beni pubblici si sentirà in diritto e sarà in diritto, in virtù di questo precedente, di onorare i suoi impegni rispetto allo Stato concedente utilizzando dei “pagherò” e forme di leverage basate sui futuri ricavi derivanti dalla concessione. Ovvero a costo e rischio zero”</w:t>
      </w:r>
      <w:r>
        <w:rPr>
          <w:rFonts w:ascii="Arial" w:hAnsi="Arial" w:cs="Arial"/>
          <w:sz w:val="24"/>
          <w:szCs w:val="24"/>
        </w:rPr>
        <w:t>.</w:t>
      </w:r>
    </w:p>
    <w:p w14:paraId="0C329E42" w14:textId="0CEDFF8E" w:rsidR="004D374D" w:rsidRDefault="004D374D" w:rsidP="00ED5678">
      <w:pPr>
        <w:jc w:val="both"/>
        <w:rPr>
          <w:rFonts w:ascii="Arial" w:hAnsi="Arial" w:cs="Arial"/>
          <w:sz w:val="24"/>
          <w:szCs w:val="24"/>
        </w:rPr>
      </w:pPr>
    </w:p>
    <w:p w14:paraId="21719932" w14:textId="77777777" w:rsidR="004D374D" w:rsidRDefault="004D374D" w:rsidP="00ED5678">
      <w:pPr>
        <w:jc w:val="both"/>
        <w:rPr>
          <w:rFonts w:ascii="Arial" w:hAnsi="Arial" w:cs="Arial"/>
          <w:sz w:val="24"/>
          <w:szCs w:val="24"/>
        </w:rPr>
      </w:pPr>
    </w:p>
    <w:p w14:paraId="786C67D2" w14:textId="3ECFB564" w:rsidR="00AA174D" w:rsidRDefault="001F3633">
      <w:pPr>
        <w:rPr>
          <w:rFonts w:ascii="Arial" w:hAnsi="Arial" w:cs="Arial"/>
          <w:i/>
          <w:iCs/>
        </w:rPr>
      </w:pPr>
      <w:r w:rsidRPr="001F3633">
        <w:rPr>
          <w:rFonts w:ascii="Arial" w:hAnsi="Arial" w:cs="Arial"/>
          <w:i/>
          <w:iCs/>
        </w:rPr>
        <w:t xml:space="preserve">Genova, </w:t>
      </w:r>
      <w:r w:rsidR="00ED5678">
        <w:rPr>
          <w:rFonts w:ascii="Arial" w:hAnsi="Arial" w:cs="Arial"/>
          <w:i/>
          <w:iCs/>
        </w:rPr>
        <w:t>29</w:t>
      </w:r>
      <w:r w:rsidR="006D37EF">
        <w:rPr>
          <w:rFonts w:ascii="Arial" w:hAnsi="Arial" w:cs="Arial"/>
          <w:i/>
          <w:iCs/>
        </w:rPr>
        <w:t xml:space="preserve"> giugno</w:t>
      </w:r>
      <w:r w:rsidRPr="001F3633">
        <w:rPr>
          <w:rFonts w:ascii="Arial" w:hAnsi="Arial" w:cs="Arial"/>
          <w:i/>
          <w:iCs/>
        </w:rPr>
        <w:t xml:space="preserve"> 2021</w:t>
      </w:r>
    </w:p>
    <w:p w14:paraId="3151047F" w14:textId="77777777" w:rsidR="00AA174D" w:rsidRPr="006D37EF" w:rsidRDefault="00AA174D">
      <w:pPr>
        <w:rPr>
          <w:rFonts w:ascii="Arial" w:hAnsi="Arial" w:cs="Arial"/>
          <w:i/>
          <w:iCs/>
        </w:rPr>
      </w:pPr>
    </w:p>
    <w:p w14:paraId="3182755D" w14:textId="77777777" w:rsidR="001F3633" w:rsidRPr="001F3633" w:rsidRDefault="001F3633" w:rsidP="001F3633">
      <w:pPr>
        <w:spacing w:after="0"/>
        <w:rPr>
          <w:rFonts w:ascii="Arial" w:hAnsi="Arial" w:cs="Arial"/>
          <w:sz w:val="20"/>
          <w:szCs w:val="20"/>
        </w:rPr>
      </w:pPr>
      <w:r w:rsidRPr="001F3633">
        <w:rPr>
          <w:rFonts w:ascii="Arial" w:hAnsi="Arial" w:cs="Arial"/>
          <w:sz w:val="20"/>
          <w:szCs w:val="20"/>
        </w:rPr>
        <w:t>Per ulteriori informazioni:</w:t>
      </w:r>
    </w:p>
    <w:p w14:paraId="74DD3CFC" w14:textId="77777777" w:rsidR="001F3633" w:rsidRPr="001F3633" w:rsidRDefault="001F3633" w:rsidP="001F3633">
      <w:pPr>
        <w:spacing w:after="0"/>
        <w:rPr>
          <w:rFonts w:ascii="Arial" w:hAnsi="Arial" w:cs="Arial"/>
          <w:sz w:val="20"/>
          <w:szCs w:val="20"/>
        </w:rPr>
      </w:pPr>
      <w:r w:rsidRPr="001F3633">
        <w:rPr>
          <w:rFonts w:ascii="Arial" w:hAnsi="Arial" w:cs="Arial"/>
          <w:sz w:val="20"/>
          <w:szCs w:val="20"/>
        </w:rPr>
        <w:t>Star comunicazione in movimento</w:t>
      </w:r>
    </w:p>
    <w:p w14:paraId="66798555" w14:textId="77777777" w:rsidR="001F3633" w:rsidRPr="001F3633" w:rsidRDefault="001F3633" w:rsidP="001F3633">
      <w:pPr>
        <w:spacing w:after="0"/>
        <w:rPr>
          <w:rFonts w:ascii="Arial" w:hAnsi="Arial" w:cs="Arial"/>
          <w:sz w:val="20"/>
          <w:szCs w:val="20"/>
        </w:rPr>
      </w:pPr>
      <w:r w:rsidRPr="001F3633">
        <w:rPr>
          <w:rFonts w:ascii="Arial" w:hAnsi="Arial" w:cs="Arial"/>
          <w:sz w:val="20"/>
          <w:szCs w:val="20"/>
        </w:rPr>
        <w:t xml:space="preserve">Barbara </w:t>
      </w:r>
      <w:proofErr w:type="spellStart"/>
      <w:r w:rsidRPr="001F3633">
        <w:rPr>
          <w:rFonts w:ascii="Arial" w:hAnsi="Arial" w:cs="Arial"/>
          <w:sz w:val="20"/>
          <w:szCs w:val="20"/>
        </w:rPr>
        <w:t>Gazzale</w:t>
      </w:r>
      <w:proofErr w:type="spellEnd"/>
    </w:p>
    <w:p w14:paraId="5EFCFC66" w14:textId="15EFD6CC" w:rsidR="001F3633" w:rsidRPr="001F3633" w:rsidRDefault="001F3633" w:rsidP="003949F9">
      <w:pPr>
        <w:tabs>
          <w:tab w:val="left" w:pos="3780"/>
        </w:tabs>
        <w:spacing w:after="0"/>
        <w:rPr>
          <w:rFonts w:ascii="Arial" w:hAnsi="Arial" w:cs="Arial"/>
          <w:sz w:val="20"/>
          <w:szCs w:val="20"/>
        </w:rPr>
      </w:pPr>
      <w:r w:rsidRPr="001F3633">
        <w:rPr>
          <w:rFonts w:ascii="Arial" w:hAnsi="Arial" w:cs="Arial"/>
          <w:sz w:val="20"/>
          <w:szCs w:val="20"/>
        </w:rPr>
        <w:t>0041 786433361</w:t>
      </w:r>
      <w:r w:rsidR="003949F9">
        <w:rPr>
          <w:rFonts w:ascii="Arial" w:hAnsi="Arial" w:cs="Arial"/>
          <w:sz w:val="20"/>
          <w:szCs w:val="20"/>
        </w:rPr>
        <w:tab/>
      </w:r>
    </w:p>
    <w:p w14:paraId="16381D74" w14:textId="2A6BABD3" w:rsidR="001F3633" w:rsidRPr="001F3633" w:rsidRDefault="001F3633" w:rsidP="001F3633">
      <w:pPr>
        <w:spacing w:after="0"/>
        <w:rPr>
          <w:rFonts w:ascii="Arial" w:hAnsi="Arial" w:cs="Arial"/>
          <w:sz w:val="20"/>
          <w:szCs w:val="20"/>
        </w:rPr>
      </w:pPr>
      <w:r w:rsidRPr="001F3633">
        <w:rPr>
          <w:rFonts w:ascii="Arial" w:hAnsi="Arial" w:cs="Arial"/>
          <w:sz w:val="20"/>
          <w:szCs w:val="20"/>
        </w:rPr>
        <w:t>0039 3484144780</w:t>
      </w:r>
    </w:p>
    <w:sectPr w:rsidR="001F3633" w:rsidRPr="001F3633" w:rsidSect="003C374E">
      <w:headerReference w:type="default" r:id="rId6"/>
      <w:footerReference w:type="default" r:id="rId7"/>
      <w:pgSz w:w="11906" w:h="16838"/>
      <w:pgMar w:top="3261" w:right="1134" w:bottom="1701"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A6B62" w14:textId="77777777" w:rsidR="00E13FD8" w:rsidRDefault="00E13FD8" w:rsidP="001F3633">
      <w:pPr>
        <w:spacing w:after="0" w:line="240" w:lineRule="auto"/>
      </w:pPr>
      <w:r>
        <w:separator/>
      </w:r>
    </w:p>
  </w:endnote>
  <w:endnote w:type="continuationSeparator" w:id="0">
    <w:p w14:paraId="1BE2ACFE" w14:textId="77777777" w:rsidR="00E13FD8" w:rsidRDefault="00E13FD8" w:rsidP="001F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B1E3" w14:textId="444F8A00" w:rsidR="001F3633" w:rsidRDefault="00F84EFF" w:rsidP="001F3633">
    <w:pPr>
      <w:pStyle w:val="Pidipagina"/>
      <w:ind w:left="-567"/>
    </w:pPr>
    <w:r>
      <w:rPr>
        <w:noProof/>
        <w:lang w:eastAsia="it-CH"/>
      </w:rPr>
      <w:drawing>
        <wp:anchor distT="0" distB="0" distL="114300" distR="114300" simplePos="0" relativeHeight="251665408" behindDoc="0" locked="0" layoutInCell="1" allowOverlap="1" wp14:anchorId="39B69EB9" wp14:editId="09026A75">
          <wp:simplePos x="0" y="0"/>
          <wp:positionH relativeFrom="column">
            <wp:posOffset>4775835</wp:posOffset>
          </wp:positionH>
          <wp:positionV relativeFrom="paragraph">
            <wp:posOffset>-441325</wp:posOffset>
          </wp:positionV>
          <wp:extent cx="650875" cy="581025"/>
          <wp:effectExtent l="0" t="0" r="0" b="9525"/>
          <wp:wrapSquare wrapText="bothSides"/>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650875" cy="581025"/>
                  </a:xfrm>
                  <a:prstGeom prst="rect">
                    <a:avLst/>
                  </a:prstGeom>
                </pic:spPr>
              </pic:pic>
            </a:graphicData>
          </a:graphic>
        </wp:anchor>
      </w:drawing>
    </w:r>
    <w:r>
      <w:rPr>
        <w:noProof/>
        <w:lang w:eastAsia="it-CH"/>
      </w:rPr>
      <w:drawing>
        <wp:anchor distT="0" distB="0" distL="114300" distR="114300" simplePos="0" relativeHeight="251663360" behindDoc="0" locked="0" layoutInCell="1" allowOverlap="1" wp14:anchorId="6CB53E86" wp14:editId="50FB6EEB">
          <wp:simplePos x="0" y="0"/>
          <wp:positionH relativeFrom="column">
            <wp:posOffset>1165860</wp:posOffset>
          </wp:positionH>
          <wp:positionV relativeFrom="paragraph">
            <wp:posOffset>-342900</wp:posOffset>
          </wp:positionV>
          <wp:extent cx="1419225" cy="478155"/>
          <wp:effectExtent l="0" t="0" r="9525" b="0"/>
          <wp:wrapSquare wrapText="bothSides"/>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extLst>
                      <a:ext uri="{28A0092B-C50C-407E-A947-70E740481C1C}">
                        <a14:useLocalDpi xmlns:a14="http://schemas.microsoft.com/office/drawing/2010/main" val="0"/>
                      </a:ext>
                    </a:extLst>
                  </a:blip>
                  <a:stretch>
                    <a:fillRect/>
                  </a:stretch>
                </pic:blipFill>
                <pic:spPr>
                  <a:xfrm>
                    <a:off x="0" y="0"/>
                    <a:ext cx="1419225" cy="478155"/>
                  </a:xfrm>
                  <a:prstGeom prst="rect">
                    <a:avLst/>
                  </a:prstGeom>
                </pic:spPr>
              </pic:pic>
            </a:graphicData>
          </a:graphic>
        </wp:anchor>
      </w:drawing>
    </w:r>
    <w:r>
      <w:rPr>
        <w:noProof/>
        <w:lang w:eastAsia="it-CH"/>
      </w:rPr>
      <w:drawing>
        <wp:anchor distT="0" distB="0" distL="114300" distR="114300" simplePos="0" relativeHeight="251662336" behindDoc="0" locked="0" layoutInCell="1" allowOverlap="1" wp14:anchorId="2B7BA6F4" wp14:editId="137B3D79">
          <wp:simplePos x="0" y="0"/>
          <wp:positionH relativeFrom="column">
            <wp:posOffset>2748915</wp:posOffset>
          </wp:positionH>
          <wp:positionV relativeFrom="paragraph">
            <wp:posOffset>-480695</wp:posOffset>
          </wp:positionV>
          <wp:extent cx="1924050" cy="674370"/>
          <wp:effectExtent l="0" t="0" r="0" b="0"/>
          <wp:wrapSquare wrapText="bothSides"/>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3">
                    <a:extLst>
                      <a:ext uri="{28A0092B-C50C-407E-A947-70E740481C1C}">
                        <a14:useLocalDpi xmlns:a14="http://schemas.microsoft.com/office/drawing/2010/main" val="0"/>
                      </a:ext>
                    </a:extLst>
                  </a:blip>
                  <a:srcRect l="8979" r="3714"/>
                  <a:stretch/>
                </pic:blipFill>
                <pic:spPr bwMode="auto">
                  <a:xfrm>
                    <a:off x="0" y="0"/>
                    <a:ext cx="1924050" cy="674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it-CH"/>
      </w:rPr>
      <w:drawing>
        <wp:anchor distT="0" distB="0" distL="114300" distR="114300" simplePos="0" relativeHeight="251664384" behindDoc="0" locked="0" layoutInCell="1" allowOverlap="1" wp14:anchorId="1D9919E4" wp14:editId="30B92134">
          <wp:simplePos x="0" y="0"/>
          <wp:positionH relativeFrom="column">
            <wp:posOffset>-462915</wp:posOffset>
          </wp:positionH>
          <wp:positionV relativeFrom="paragraph">
            <wp:posOffset>-376555</wp:posOffset>
          </wp:positionV>
          <wp:extent cx="1423035" cy="371475"/>
          <wp:effectExtent l="0" t="0" r="5715" b="9525"/>
          <wp:wrapSquare wrapText="bothSides"/>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4">
                    <a:extLst>
                      <a:ext uri="{28A0092B-C50C-407E-A947-70E740481C1C}">
                        <a14:useLocalDpi xmlns:a14="http://schemas.microsoft.com/office/drawing/2010/main" val="0"/>
                      </a:ext>
                    </a:extLst>
                  </a:blip>
                  <a:stretch>
                    <a:fillRect/>
                  </a:stretch>
                </pic:blipFill>
                <pic:spPr>
                  <a:xfrm>
                    <a:off x="0" y="0"/>
                    <a:ext cx="1423035" cy="371475"/>
                  </a:xfrm>
                  <a:prstGeom prst="rect">
                    <a:avLst/>
                  </a:prstGeom>
                </pic:spPr>
              </pic:pic>
            </a:graphicData>
          </a:graphic>
        </wp:anchor>
      </w:drawing>
    </w:r>
    <w:r w:rsidR="00CE1FFB">
      <w:rPr>
        <w:noProof/>
        <w:lang w:eastAsia="it-CH"/>
      </w:rPr>
      <w:drawing>
        <wp:anchor distT="0" distB="0" distL="114300" distR="114300" simplePos="0" relativeHeight="251661312" behindDoc="0" locked="0" layoutInCell="1" allowOverlap="1" wp14:anchorId="738E0B93" wp14:editId="0AE161CC">
          <wp:simplePos x="0" y="0"/>
          <wp:positionH relativeFrom="column">
            <wp:posOffset>5481955</wp:posOffset>
          </wp:positionH>
          <wp:positionV relativeFrom="paragraph">
            <wp:posOffset>-337185</wp:posOffset>
          </wp:positionV>
          <wp:extent cx="1019175" cy="402590"/>
          <wp:effectExtent l="0" t="0" r="9525" b="0"/>
          <wp:wrapSquare wrapText="bothSides"/>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5">
                    <a:extLst>
                      <a:ext uri="{28A0092B-C50C-407E-A947-70E740481C1C}">
                        <a14:useLocalDpi xmlns:a14="http://schemas.microsoft.com/office/drawing/2010/main" val="0"/>
                      </a:ext>
                    </a:extLst>
                  </a:blip>
                  <a:stretch>
                    <a:fillRect/>
                  </a:stretch>
                </pic:blipFill>
                <pic:spPr>
                  <a:xfrm>
                    <a:off x="0" y="0"/>
                    <a:ext cx="1019175" cy="402590"/>
                  </a:xfrm>
                  <a:prstGeom prst="rect">
                    <a:avLst/>
                  </a:prstGeom>
                </pic:spPr>
              </pic:pic>
            </a:graphicData>
          </a:graphic>
          <wp14:sizeRelH relativeFrom="page">
            <wp14:pctWidth>0</wp14:pctWidth>
          </wp14:sizeRelH>
          <wp14:sizeRelV relativeFrom="page">
            <wp14:pctHeight>0</wp14:pctHeight>
          </wp14:sizeRelV>
        </wp:anchor>
      </w:drawing>
    </w:r>
  </w:p>
  <w:p w14:paraId="27D50CCF" w14:textId="01DDA99D" w:rsidR="001F3633" w:rsidRDefault="001F3633" w:rsidP="001F3633">
    <w:pPr>
      <w:pStyle w:val="Pidipagina"/>
      <w:ind w:left="-567"/>
    </w:pPr>
  </w:p>
  <w:p w14:paraId="6AFBAF69" w14:textId="36B2F94E" w:rsidR="001F3633" w:rsidRDefault="001F3633" w:rsidP="001F3633">
    <w:pPr>
      <w:pStyle w:val="Pidipagina"/>
      <w:ind w:left="-567"/>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96D4" w14:textId="77777777" w:rsidR="00E13FD8" w:rsidRDefault="00E13FD8" w:rsidP="001F3633">
      <w:pPr>
        <w:spacing w:after="0" w:line="240" w:lineRule="auto"/>
      </w:pPr>
      <w:r>
        <w:separator/>
      </w:r>
    </w:p>
  </w:footnote>
  <w:footnote w:type="continuationSeparator" w:id="0">
    <w:p w14:paraId="6E878BEC" w14:textId="77777777" w:rsidR="00E13FD8" w:rsidRDefault="00E13FD8" w:rsidP="001F3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39F3" w14:textId="1B702297" w:rsidR="00CE1FFB" w:rsidRPr="00294AA3" w:rsidRDefault="000650F4" w:rsidP="00294AA3">
    <w:pPr>
      <w:pStyle w:val="Intestazione"/>
      <w:jc w:val="center"/>
    </w:pPr>
    <w:r>
      <w:rPr>
        <w:noProof/>
        <w:lang w:eastAsia="it-CH"/>
      </w:rPr>
      <w:drawing>
        <wp:inline distT="0" distB="0" distL="0" distR="0" wp14:anchorId="37EBB7C6" wp14:editId="7BA9D333">
          <wp:extent cx="2905125" cy="1253481"/>
          <wp:effectExtent l="0" t="0" r="0" b="4445"/>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914110" cy="125735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6BE"/>
    <w:rsid w:val="00056C03"/>
    <w:rsid w:val="000650F4"/>
    <w:rsid w:val="001F3633"/>
    <w:rsid w:val="002629AC"/>
    <w:rsid w:val="002811C6"/>
    <w:rsid w:val="0028185E"/>
    <w:rsid w:val="00294AA3"/>
    <w:rsid w:val="0036576F"/>
    <w:rsid w:val="003949F9"/>
    <w:rsid w:val="003A3801"/>
    <w:rsid w:val="003C374E"/>
    <w:rsid w:val="003E0995"/>
    <w:rsid w:val="004651A6"/>
    <w:rsid w:val="0047319A"/>
    <w:rsid w:val="00481F3D"/>
    <w:rsid w:val="004A618D"/>
    <w:rsid w:val="004C3351"/>
    <w:rsid w:val="004D374D"/>
    <w:rsid w:val="004F58C4"/>
    <w:rsid w:val="005160FE"/>
    <w:rsid w:val="00595B8B"/>
    <w:rsid w:val="00600440"/>
    <w:rsid w:val="00664A1F"/>
    <w:rsid w:val="006C7E4F"/>
    <w:rsid w:val="006D1033"/>
    <w:rsid w:val="006D37EF"/>
    <w:rsid w:val="006F1230"/>
    <w:rsid w:val="0075470E"/>
    <w:rsid w:val="007F7C6F"/>
    <w:rsid w:val="008413A1"/>
    <w:rsid w:val="00951F39"/>
    <w:rsid w:val="00995678"/>
    <w:rsid w:val="009B66BE"/>
    <w:rsid w:val="00A61359"/>
    <w:rsid w:val="00AA174D"/>
    <w:rsid w:val="00AB07FF"/>
    <w:rsid w:val="00B616FC"/>
    <w:rsid w:val="00B65144"/>
    <w:rsid w:val="00BE0CC5"/>
    <w:rsid w:val="00BE4A7A"/>
    <w:rsid w:val="00BF2BD6"/>
    <w:rsid w:val="00CE1FFB"/>
    <w:rsid w:val="00D65EDB"/>
    <w:rsid w:val="00E13FD8"/>
    <w:rsid w:val="00ED5678"/>
    <w:rsid w:val="00EE2EF5"/>
    <w:rsid w:val="00F109F8"/>
    <w:rsid w:val="00F24378"/>
    <w:rsid w:val="00F84EFF"/>
    <w:rsid w:val="00FF5B43"/>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FCB9A"/>
  <w15:chartTrackingRefBased/>
  <w15:docId w15:val="{2EF5B259-2ED0-46E8-BBC5-7A37A6BC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66B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B66BE"/>
    <w:pPr>
      <w:spacing w:after="0" w:line="240" w:lineRule="auto"/>
    </w:pPr>
  </w:style>
  <w:style w:type="paragraph" w:styleId="Intestazione">
    <w:name w:val="header"/>
    <w:basedOn w:val="Normale"/>
    <w:link w:val="IntestazioneCarattere"/>
    <w:uiPriority w:val="99"/>
    <w:unhideWhenUsed/>
    <w:rsid w:val="001F36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3633"/>
  </w:style>
  <w:style w:type="paragraph" w:styleId="Pidipagina">
    <w:name w:val="footer"/>
    <w:basedOn w:val="Normale"/>
    <w:link w:val="PidipaginaCarattere"/>
    <w:uiPriority w:val="99"/>
    <w:unhideWhenUsed/>
    <w:rsid w:val="001F36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3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1052">
      <w:bodyDiv w:val="1"/>
      <w:marLeft w:val="0"/>
      <w:marRight w:val="0"/>
      <w:marTop w:val="0"/>
      <w:marBottom w:val="0"/>
      <w:divBdr>
        <w:top w:val="none" w:sz="0" w:space="0" w:color="auto"/>
        <w:left w:val="none" w:sz="0" w:space="0" w:color="auto"/>
        <w:bottom w:val="none" w:sz="0" w:space="0" w:color="auto"/>
        <w:right w:val="none" w:sz="0" w:space="0" w:color="auto"/>
      </w:divBdr>
    </w:div>
    <w:div w:id="454711573">
      <w:bodyDiv w:val="1"/>
      <w:marLeft w:val="0"/>
      <w:marRight w:val="0"/>
      <w:marTop w:val="0"/>
      <w:marBottom w:val="0"/>
      <w:divBdr>
        <w:top w:val="none" w:sz="0" w:space="0" w:color="auto"/>
        <w:left w:val="none" w:sz="0" w:space="0" w:color="auto"/>
        <w:bottom w:val="none" w:sz="0" w:space="0" w:color="auto"/>
        <w:right w:val="none" w:sz="0" w:space="0" w:color="auto"/>
      </w:divBdr>
    </w:div>
    <w:div w:id="465468353">
      <w:bodyDiv w:val="1"/>
      <w:marLeft w:val="0"/>
      <w:marRight w:val="0"/>
      <w:marTop w:val="0"/>
      <w:marBottom w:val="0"/>
      <w:divBdr>
        <w:top w:val="none" w:sz="0" w:space="0" w:color="auto"/>
        <w:left w:val="none" w:sz="0" w:space="0" w:color="auto"/>
        <w:bottom w:val="none" w:sz="0" w:space="0" w:color="auto"/>
        <w:right w:val="none" w:sz="0" w:space="0" w:color="auto"/>
      </w:divBdr>
    </w:div>
    <w:div w:id="899948184">
      <w:bodyDiv w:val="1"/>
      <w:marLeft w:val="0"/>
      <w:marRight w:val="0"/>
      <w:marTop w:val="0"/>
      <w:marBottom w:val="0"/>
      <w:divBdr>
        <w:top w:val="none" w:sz="0" w:space="0" w:color="auto"/>
        <w:left w:val="none" w:sz="0" w:space="0" w:color="auto"/>
        <w:bottom w:val="none" w:sz="0" w:space="0" w:color="auto"/>
        <w:right w:val="none" w:sz="0" w:space="0" w:color="auto"/>
      </w:divBdr>
    </w:div>
    <w:div w:id="961764866">
      <w:bodyDiv w:val="1"/>
      <w:marLeft w:val="0"/>
      <w:marRight w:val="0"/>
      <w:marTop w:val="0"/>
      <w:marBottom w:val="0"/>
      <w:divBdr>
        <w:top w:val="none" w:sz="0" w:space="0" w:color="auto"/>
        <w:left w:val="none" w:sz="0" w:space="0" w:color="auto"/>
        <w:bottom w:val="none" w:sz="0" w:space="0" w:color="auto"/>
        <w:right w:val="none" w:sz="0" w:space="0" w:color="auto"/>
      </w:divBdr>
    </w:div>
    <w:div w:id="1139572103">
      <w:bodyDiv w:val="1"/>
      <w:marLeft w:val="0"/>
      <w:marRight w:val="0"/>
      <w:marTop w:val="0"/>
      <w:marBottom w:val="0"/>
      <w:divBdr>
        <w:top w:val="none" w:sz="0" w:space="0" w:color="auto"/>
        <w:left w:val="none" w:sz="0" w:space="0" w:color="auto"/>
        <w:bottom w:val="none" w:sz="0" w:space="0" w:color="auto"/>
        <w:right w:val="none" w:sz="0" w:space="0" w:color="auto"/>
      </w:divBdr>
    </w:div>
    <w:div w:id="1183087960">
      <w:bodyDiv w:val="1"/>
      <w:marLeft w:val="0"/>
      <w:marRight w:val="0"/>
      <w:marTop w:val="0"/>
      <w:marBottom w:val="0"/>
      <w:divBdr>
        <w:top w:val="none" w:sz="0" w:space="0" w:color="auto"/>
        <w:left w:val="none" w:sz="0" w:space="0" w:color="auto"/>
        <w:bottom w:val="none" w:sz="0" w:space="0" w:color="auto"/>
        <w:right w:val="none" w:sz="0" w:space="0" w:color="auto"/>
      </w:divBdr>
    </w:div>
    <w:div w:id="1434397741">
      <w:bodyDiv w:val="1"/>
      <w:marLeft w:val="0"/>
      <w:marRight w:val="0"/>
      <w:marTop w:val="0"/>
      <w:marBottom w:val="0"/>
      <w:divBdr>
        <w:top w:val="none" w:sz="0" w:space="0" w:color="auto"/>
        <w:left w:val="none" w:sz="0" w:space="0" w:color="auto"/>
        <w:bottom w:val="none" w:sz="0" w:space="0" w:color="auto"/>
        <w:right w:val="none" w:sz="0" w:space="0" w:color="auto"/>
      </w:divBdr>
    </w:div>
    <w:div w:id="1483961708">
      <w:bodyDiv w:val="1"/>
      <w:marLeft w:val="0"/>
      <w:marRight w:val="0"/>
      <w:marTop w:val="0"/>
      <w:marBottom w:val="0"/>
      <w:divBdr>
        <w:top w:val="none" w:sz="0" w:space="0" w:color="auto"/>
        <w:left w:val="none" w:sz="0" w:space="0" w:color="auto"/>
        <w:bottom w:val="none" w:sz="0" w:space="0" w:color="auto"/>
        <w:right w:val="none" w:sz="0" w:space="0" w:color="auto"/>
      </w:divBdr>
    </w:div>
    <w:div w:id="2043361788">
      <w:bodyDiv w:val="1"/>
      <w:marLeft w:val="0"/>
      <w:marRight w:val="0"/>
      <w:marTop w:val="0"/>
      <w:marBottom w:val="0"/>
      <w:divBdr>
        <w:top w:val="none" w:sz="0" w:space="0" w:color="auto"/>
        <w:left w:val="none" w:sz="0" w:space="0" w:color="auto"/>
        <w:bottom w:val="none" w:sz="0" w:space="0" w:color="auto"/>
        <w:right w:val="none" w:sz="0" w:space="0" w:color="auto"/>
      </w:divBdr>
    </w:div>
    <w:div w:id="213339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356</Words>
  <Characters>2030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dardani</dc:creator>
  <cp:keywords/>
  <dc:description/>
  <cp:lastModifiedBy>Starcomunicazione</cp:lastModifiedBy>
  <cp:revision>5</cp:revision>
  <dcterms:created xsi:type="dcterms:W3CDTF">2021-06-29T09:25:00Z</dcterms:created>
  <dcterms:modified xsi:type="dcterms:W3CDTF">2021-06-29T12:43:00Z</dcterms:modified>
</cp:coreProperties>
</file>