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A505A" w14:textId="77777777" w:rsidR="00AE432E" w:rsidRDefault="00AE432E" w:rsidP="00AE432E"/>
    <w:p w14:paraId="44422B80" w14:textId="77777777" w:rsidR="006579A3" w:rsidRDefault="006579A3" w:rsidP="00AE432E">
      <w:pPr>
        <w:jc w:val="right"/>
        <w:rPr>
          <w:b/>
          <w:bCs/>
          <w:u w:val="single"/>
          <w:lang w:val="en-US"/>
        </w:rPr>
      </w:pPr>
    </w:p>
    <w:p w14:paraId="3AD3C67B" w14:textId="77777777" w:rsidR="006579A3" w:rsidRDefault="006579A3" w:rsidP="00AE432E">
      <w:pPr>
        <w:jc w:val="right"/>
        <w:rPr>
          <w:b/>
          <w:bCs/>
          <w:u w:val="single"/>
          <w:lang w:val="en-US"/>
        </w:rPr>
      </w:pPr>
    </w:p>
    <w:p w14:paraId="221976DF" w14:textId="3E29BDF9" w:rsidR="00AE432E" w:rsidRPr="00145049" w:rsidRDefault="00145049" w:rsidP="00AE432E">
      <w:pPr>
        <w:jc w:val="right"/>
        <w:rPr>
          <w:b/>
          <w:bCs/>
          <w:u w:val="single"/>
          <w:lang w:val="en-US"/>
        </w:rPr>
      </w:pPr>
      <w:r>
        <w:rPr>
          <w:b/>
          <w:bCs/>
          <w:u w:val="single"/>
          <w:lang w:val="en-US"/>
        </w:rPr>
        <w:t>Press release</w:t>
      </w:r>
      <w:r w:rsidR="00AE432E" w:rsidRPr="00145049">
        <w:rPr>
          <w:b/>
          <w:bCs/>
          <w:u w:val="single"/>
          <w:lang w:val="en-US"/>
        </w:rPr>
        <w:t xml:space="preserve"> – Genoa, </w:t>
      </w:r>
      <w:r w:rsidR="006579A3">
        <w:rPr>
          <w:b/>
          <w:bCs/>
          <w:u w:val="single"/>
          <w:lang w:val="en-US"/>
        </w:rPr>
        <w:t xml:space="preserve">the </w:t>
      </w:r>
      <w:r w:rsidR="00DB3B3A">
        <w:rPr>
          <w:b/>
          <w:bCs/>
          <w:u w:val="single"/>
          <w:lang w:val="en-US"/>
        </w:rPr>
        <w:t>21</w:t>
      </w:r>
      <w:proofErr w:type="gramStart"/>
      <w:r w:rsidR="00DB3B3A">
        <w:rPr>
          <w:b/>
          <w:bCs/>
          <w:u w:val="single"/>
          <w:lang w:val="en-US"/>
        </w:rPr>
        <w:t>st</w:t>
      </w:r>
      <w:r>
        <w:rPr>
          <w:b/>
          <w:bCs/>
          <w:u w:val="single"/>
          <w:lang w:val="en-US"/>
        </w:rPr>
        <w:t xml:space="preserve"> </w:t>
      </w:r>
      <w:r w:rsidR="00AE432E" w:rsidRPr="00145049">
        <w:rPr>
          <w:b/>
          <w:bCs/>
          <w:u w:val="single"/>
          <w:lang w:val="en-US"/>
        </w:rPr>
        <w:t xml:space="preserve"> </w:t>
      </w:r>
      <w:r>
        <w:rPr>
          <w:b/>
          <w:bCs/>
          <w:u w:val="single"/>
          <w:lang w:val="en-US"/>
        </w:rPr>
        <w:t>M</w:t>
      </w:r>
      <w:r w:rsidR="00AE432E" w:rsidRPr="00145049">
        <w:rPr>
          <w:b/>
          <w:bCs/>
          <w:u w:val="single"/>
          <w:lang w:val="en-US"/>
        </w:rPr>
        <w:t>a</w:t>
      </w:r>
      <w:r>
        <w:rPr>
          <w:b/>
          <w:bCs/>
          <w:u w:val="single"/>
          <w:lang w:val="en-US"/>
        </w:rPr>
        <w:t>y</w:t>
      </w:r>
      <w:proofErr w:type="gramEnd"/>
      <w:r w:rsidR="00AE432E" w:rsidRPr="00145049">
        <w:rPr>
          <w:b/>
          <w:bCs/>
          <w:u w:val="single"/>
          <w:lang w:val="en-US"/>
        </w:rPr>
        <w:t xml:space="preserve"> 2025</w:t>
      </w:r>
    </w:p>
    <w:p w14:paraId="45F20B53" w14:textId="77777777" w:rsidR="00AE432E" w:rsidRDefault="00AE432E" w:rsidP="00AE432E">
      <w:pPr>
        <w:rPr>
          <w:lang w:val="en-US"/>
        </w:rPr>
      </w:pPr>
    </w:p>
    <w:p w14:paraId="66AAB616" w14:textId="77777777" w:rsidR="006579A3" w:rsidRDefault="006579A3" w:rsidP="00AE432E">
      <w:pPr>
        <w:rPr>
          <w:lang w:val="en-US"/>
        </w:rPr>
      </w:pPr>
    </w:p>
    <w:p w14:paraId="47BD8836" w14:textId="77777777" w:rsidR="006579A3" w:rsidRPr="00145049" w:rsidRDefault="006579A3" w:rsidP="00AE432E">
      <w:pPr>
        <w:rPr>
          <w:lang w:val="en-US"/>
        </w:rPr>
      </w:pPr>
    </w:p>
    <w:p w14:paraId="71A93F79" w14:textId="77777777" w:rsidR="00AE432E" w:rsidRPr="00145049" w:rsidRDefault="00AE432E" w:rsidP="00AE432E">
      <w:pPr>
        <w:rPr>
          <w:lang w:val="en-US"/>
        </w:rPr>
      </w:pPr>
    </w:p>
    <w:p w14:paraId="01C05E1E" w14:textId="726A15BE" w:rsidR="00145049" w:rsidRPr="00145049" w:rsidRDefault="00145049" w:rsidP="00145049">
      <w:pPr>
        <w:spacing w:after="0"/>
        <w:rPr>
          <w:color w:val="003399"/>
          <w:sz w:val="36"/>
          <w:szCs w:val="36"/>
          <w:lang w:val="en-US"/>
        </w:rPr>
      </w:pPr>
      <w:r w:rsidRPr="00145049">
        <w:rPr>
          <w:color w:val="003399"/>
          <w:sz w:val="36"/>
          <w:szCs w:val="36"/>
          <w:lang w:val="en-US"/>
        </w:rPr>
        <w:t>HAPAG</w:t>
      </w:r>
      <w:r w:rsidR="00132586">
        <w:rPr>
          <w:color w:val="003399"/>
          <w:sz w:val="36"/>
          <w:szCs w:val="36"/>
          <w:lang w:val="en-US"/>
        </w:rPr>
        <w:t>-</w:t>
      </w:r>
      <w:r w:rsidRPr="00145049">
        <w:rPr>
          <w:color w:val="003399"/>
          <w:sz w:val="36"/>
          <w:szCs w:val="36"/>
          <w:lang w:val="en-US"/>
        </w:rPr>
        <w:t>LLOYD</w:t>
      </w:r>
      <w:r w:rsidR="00014E4B">
        <w:rPr>
          <w:color w:val="003399"/>
          <w:sz w:val="36"/>
          <w:szCs w:val="36"/>
          <w:lang w:val="en-US"/>
        </w:rPr>
        <w:t xml:space="preserve"> WILL CONTINUE TO INVEST IN </w:t>
      </w:r>
      <w:r w:rsidRPr="00145049">
        <w:rPr>
          <w:color w:val="003399"/>
          <w:sz w:val="36"/>
          <w:szCs w:val="36"/>
          <w:lang w:val="en-US"/>
        </w:rPr>
        <w:t>ITALY</w:t>
      </w:r>
      <w:r w:rsidR="00014E4B">
        <w:rPr>
          <w:color w:val="003399"/>
          <w:sz w:val="36"/>
          <w:szCs w:val="36"/>
          <w:lang w:val="en-US"/>
        </w:rPr>
        <w:t>,</w:t>
      </w:r>
    </w:p>
    <w:p w14:paraId="3E032EAE" w14:textId="47F940B6" w:rsidR="00AE432E" w:rsidRDefault="00E54F2E" w:rsidP="00145049">
      <w:pPr>
        <w:spacing w:after="0"/>
        <w:rPr>
          <w:color w:val="003399"/>
          <w:sz w:val="36"/>
          <w:szCs w:val="36"/>
          <w:lang w:val="en-US"/>
        </w:rPr>
      </w:pPr>
      <w:r>
        <w:rPr>
          <w:color w:val="003399"/>
          <w:sz w:val="36"/>
          <w:szCs w:val="36"/>
          <w:lang w:val="en-US"/>
        </w:rPr>
        <w:t xml:space="preserve">BUT </w:t>
      </w:r>
      <w:r w:rsidR="00014E4B">
        <w:rPr>
          <w:color w:val="003399"/>
          <w:sz w:val="36"/>
          <w:szCs w:val="36"/>
          <w:lang w:val="en-US"/>
        </w:rPr>
        <w:t>WE NEED</w:t>
      </w:r>
      <w:r w:rsidR="00145049" w:rsidRPr="00145049">
        <w:rPr>
          <w:color w:val="003399"/>
          <w:sz w:val="36"/>
          <w:szCs w:val="36"/>
          <w:lang w:val="en-US"/>
        </w:rPr>
        <w:t xml:space="preserve"> CLEAR RULES AND REGULATIONS</w:t>
      </w:r>
    </w:p>
    <w:p w14:paraId="205BB9EB" w14:textId="77777777" w:rsidR="00145049" w:rsidRPr="00145049" w:rsidRDefault="00145049" w:rsidP="00145049">
      <w:pPr>
        <w:spacing w:after="0"/>
        <w:rPr>
          <w:sz w:val="28"/>
          <w:szCs w:val="28"/>
          <w:lang w:val="en-US"/>
        </w:rPr>
      </w:pPr>
    </w:p>
    <w:p w14:paraId="5C1E75CF" w14:textId="77777777" w:rsidR="006579A3" w:rsidRDefault="006579A3" w:rsidP="00F07223">
      <w:pPr>
        <w:rPr>
          <w:sz w:val="24"/>
          <w:szCs w:val="24"/>
          <w:lang w:val="en-US"/>
        </w:rPr>
      </w:pPr>
    </w:p>
    <w:p w14:paraId="0CBBA6FC" w14:textId="34457E04" w:rsidR="00F07223" w:rsidRDefault="00145049" w:rsidP="003853F2">
      <w:pPr>
        <w:jc w:val="both"/>
        <w:rPr>
          <w:sz w:val="24"/>
          <w:szCs w:val="24"/>
          <w:lang w:val="en-US"/>
        </w:rPr>
      </w:pPr>
      <w:r w:rsidRPr="00145049">
        <w:rPr>
          <w:sz w:val="24"/>
          <w:szCs w:val="24"/>
          <w:lang w:val="en-US"/>
        </w:rPr>
        <w:t xml:space="preserve">With more than 500 employees </w:t>
      </w:r>
      <w:r w:rsidR="00AC74B9">
        <w:rPr>
          <w:sz w:val="24"/>
          <w:szCs w:val="24"/>
          <w:lang w:val="en-US"/>
        </w:rPr>
        <w:t>–</w:t>
      </w:r>
      <w:r w:rsidRPr="00145049">
        <w:rPr>
          <w:sz w:val="24"/>
          <w:szCs w:val="24"/>
          <w:lang w:val="en-US"/>
        </w:rPr>
        <w:t xml:space="preserve"> 90% of whom are based in Genoa </w:t>
      </w:r>
      <w:r w:rsidR="00AC74B9">
        <w:rPr>
          <w:sz w:val="24"/>
          <w:szCs w:val="24"/>
          <w:lang w:val="en-US"/>
        </w:rPr>
        <w:t>–</w:t>
      </w:r>
      <w:r w:rsidRPr="00145049">
        <w:rPr>
          <w:sz w:val="24"/>
          <w:szCs w:val="24"/>
          <w:lang w:val="en-US"/>
        </w:rPr>
        <w:t xml:space="preserve"> and a role that has been firmly established as the top customer of the Port of Genoa and the second-largest customer of Italy's entire port system, Hapag</w:t>
      </w:r>
      <w:r w:rsidR="00414439">
        <w:rPr>
          <w:sz w:val="24"/>
          <w:szCs w:val="24"/>
          <w:lang w:val="en-US"/>
        </w:rPr>
        <w:t>-</w:t>
      </w:r>
      <w:r w:rsidRPr="00145049">
        <w:rPr>
          <w:sz w:val="24"/>
          <w:szCs w:val="24"/>
          <w:lang w:val="en-US"/>
        </w:rPr>
        <w:t xml:space="preserve">Lloyd is </w:t>
      </w:r>
      <w:r w:rsidR="00014E4B">
        <w:rPr>
          <w:sz w:val="24"/>
          <w:szCs w:val="24"/>
          <w:lang w:val="en-US"/>
        </w:rPr>
        <w:t>committed to the Italian market</w:t>
      </w:r>
      <w:r w:rsidRPr="00145049">
        <w:rPr>
          <w:sz w:val="24"/>
          <w:szCs w:val="24"/>
          <w:lang w:val="en-US"/>
        </w:rPr>
        <w:t xml:space="preserve">. It consistently ranks fifth among the world’s largest container shipping companies and operates </w:t>
      </w:r>
      <w:r w:rsidR="00014E4B">
        <w:rPr>
          <w:sz w:val="24"/>
          <w:szCs w:val="24"/>
          <w:lang w:val="en-US"/>
        </w:rPr>
        <w:t xml:space="preserve">around 300 ships and </w:t>
      </w:r>
      <w:r w:rsidRPr="00145049">
        <w:rPr>
          <w:sz w:val="24"/>
          <w:szCs w:val="24"/>
          <w:lang w:val="en-US"/>
        </w:rPr>
        <w:t>21 terminals</w:t>
      </w:r>
      <w:r w:rsidR="00014E4B">
        <w:rPr>
          <w:sz w:val="24"/>
          <w:szCs w:val="24"/>
          <w:lang w:val="en-US"/>
        </w:rPr>
        <w:t xml:space="preserve"> worldwide</w:t>
      </w:r>
      <w:r w:rsidRPr="00145049">
        <w:rPr>
          <w:sz w:val="24"/>
          <w:szCs w:val="24"/>
          <w:lang w:val="en-US"/>
        </w:rPr>
        <w:t xml:space="preserve">, </w:t>
      </w:r>
      <w:r w:rsidR="00014E4B">
        <w:rPr>
          <w:sz w:val="24"/>
          <w:szCs w:val="24"/>
          <w:lang w:val="en-US"/>
        </w:rPr>
        <w:t>w</w:t>
      </w:r>
      <w:r w:rsidR="00F07223" w:rsidRPr="00F07223">
        <w:rPr>
          <w:sz w:val="24"/>
          <w:szCs w:val="24"/>
          <w:lang w:val="en-US"/>
        </w:rPr>
        <w:t>ith Genoa</w:t>
      </w:r>
      <w:r w:rsidR="00014E4B">
        <w:rPr>
          <w:sz w:val="24"/>
          <w:szCs w:val="24"/>
          <w:lang w:val="en-US"/>
        </w:rPr>
        <w:t xml:space="preserve"> as a </w:t>
      </w:r>
      <w:r w:rsidR="00F07223" w:rsidRPr="00F07223">
        <w:rPr>
          <w:sz w:val="24"/>
          <w:szCs w:val="24"/>
          <w:lang w:val="en-US"/>
        </w:rPr>
        <w:t xml:space="preserve">strategic </w:t>
      </w:r>
      <w:r w:rsidR="00014E4B">
        <w:rPr>
          <w:sz w:val="24"/>
          <w:szCs w:val="24"/>
          <w:lang w:val="en-US"/>
        </w:rPr>
        <w:t xml:space="preserve">location </w:t>
      </w:r>
      <w:r w:rsidR="00F07223" w:rsidRPr="00F07223">
        <w:rPr>
          <w:sz w:val="24"/>
          <w:szCs w:val="24"/>
          <w:lang w:val="en-US"/>
        </w:rPr>
        <w:t xml:space="preserve">for the Group since the 1990s and, </w:t>
      </w:r>
      <w:r w:rsidR="00014E4B">
        <w:rPr>
          <w:sz w:val="24"/>
          <w:szCs w:val="24"/>
          <w:lang w:val="en-US"/>
        </w:rPr>
        <w:t xml:space="preserve">since almost </w:t>
      </w:r>
      <w:r w:rsidR="00F07223" w:rsidRPr="00F07223">
        <w:rPr>
          <w:sz w:val="24"/>
          <w:szCs w:val="24"/>
          <w:lang w:val="en-US"/>
        </w:rPr>
        <w:t>six years, the 'capital' of the South Europe Region, which oversees the entire Mediterranean area for the container transport company.</w:t>
      </w:r>
    </w:p>
    <w:p w14:paraId="0D0A9647" w14:textId="0913CC7E" w:rsidR="00145049" w:rsidRPr="00145049" w:rsidRDefault="00145049" w:rsidP="003853F2">
      <w:pPr>
        <w:jc w:val="both"/>
        <w:rPr>
          <w:sz w:val="24"/>
          <w:szCs w:val="24"/>
          <w:lang w:val="en-US"/>
        </w:rPr>
      </w:pPr>
      <w:r w:rsidRPr="00145049">
        <w:rPr>
          <w:sz w:val="24"/>
          <w:szCs w:val="24"/>
          <w:lang w:val="en-US"/>
        </w:rPr>
        <w:t>Hapag</w:t>
      </w:r>
      <w:r w:rsidR="00132586">
        <w:rPr>
          <w:sz w:val="24"/>
          <w:szCs w:val="24"/>
          <w:lang w:val="en-US"/>
        </w:rPr>
        <w:t>-</w:t>
      </w:r>
      <w:r w:rsidRPr="00145049">
        <w:rPr>
          <w:sz w:val="24"/>
          <w:szCs w:val="24"/>
          <w:lang w:val="en-US"/>
        </w:rPr>
        <w:t>Lloyd</w:t>
      </w:r>
      <w:r w:rsidR="00014E4B">
        <w:rPr>
          <w:sz w:val="24"/>
          <w:szCs w:val="24"/>
          <w:lang w:val="en-US"/>
        </w:rPr>
        <w:t xml:space="preserve"> is</w:t>
      </w:r>
      <w:r w:rsidRPr="00145049">
        <w:rPr>
          <w:sz w:val="24"/>
          <w:szCs w:val="24"/>
          <w:lang w:val="en-US"/>
        </w:rPr>
        <w:t xml:space="preserve"> the German shipping and logistics group listed on the stock exchange, with shareholders including Kuhne </w:t>
      </w:r>
      <w:r w:rsidR="006B59C4">
        <w:rPr>
          <w:sz w:val="24"/>
          <w:szCs w:val="24"/>
          <w:lang w:val="en-US"/>
        </w:rPr>
        <w:t>M</w:t>
      </w:r>
      <w:r w:rsidRPr="00145049">
        <w:rPr>
          <w:sz w:val="24"/>
          <w:szCs w:val="24"/>
          <w:lang w:val="en-US"/>
        </w:rPr>
        <w:t>aritime, C</w:t>
      </w:r>
      <w:r w:rsidR="006368B8">
        <w:rPr>
          <w:sz w:val="24"/>
          <w:szCs w:val="24"/>
          <w:lang w:val="en-US"/>
        </w:rPr>
        <w:t xml:space="preserve">SAV </w:t>
      </w:r>
      <w:r w:rsidRPr="00145049">
        <w:rPr>
          <w:sz w:val="24"/>
          <w:szCs w:val="24"/>
          <w:lang w:val="en-US"/>
        </w:rPr>
        <w:t>(</w:t>
      </w:r>
      <w:proofErr w:type="spellStart"/>
      <w:r w:rsidRPr="00145049">
        <w:rPr>
          <w:sz w:val="24"/>
          <w:szCs w:val="24"/>
          <w:lang w:val="en-US"/>
        </w:rPr>
        <w:t>Compa</w:t>
      </w:r>
      <w:r w:rsidR="003B024D" w:rsidRPr="003B024D">
        <w:rPr>
          <w:sz w:val="24"/>
          <w:szCs w:val="24"/>
          <w:lang w:val="en-US"/>
        </w:rPr>
        <w:t>ñ</w:t>
      </w:r>
      <w:r w:rsidRPr="00145049">
        <w:rPr>
          <w:sz w:val="24"/>
          <w:szCs w:val="24"/>
          <w:lang w:val="en-US"/>
        </w:rPr>
        <w:t>ia</w:t>
      </w:r>
      <w:proofErr w:type="spellEnd"/>
      <w:r w:rsidRPr="00145049">
        <w:rPr>
          <w:sz w:val="24"/>
          <w:szCs w:val="24"/>
          <w:lang w:val="en-US"/>
        </w:rPr>
        <w:t xml:space="preserve"> </w:t>
      </w:r>
      <w:r w:rsidR="001727E5">
        <w:rPr>
          <w:sz w:val="24"/>
          <w:szCs w:val="24"/>
          <w:lang w:val="en-US"/>
        </w:rPr>
        <w:t>S</w:t>
      </w:r>
      <w:r w:rsidRPr="00145049">
        <w:rPr>
          <w:sz w:val="24"/>
          <w:szCs w:val="24"/>
          <w:lang w:val="en-US"/>
        </w:rPr>
        <w:t xml:space="preserve">udamericana de </w:t>
      </w:r>
      <w:proofErr w:type="spellStart"/>
      <w:r w:rsidRPr="00145049">
        <w:rPr>
          <w:sz w:val="24"/>
          <w:szCs w:val="24"/>
          <w:lang w:val="en-US"/>
        </w:rPr>
        <w:t>Vapores</w:t>
      </w:r>
      <w:proofErr w:type="spellEnd"/>
      <w:r w:rsidRPr="00145049">
        <w:rPr>
          <w:sz w:val="24"/>
          <w:szCs w:val="24"/>
          <w:lang w:val="en-US"/>
        </w:rPr>
        <w:t>), Qatar Holding, Public Investment Fund and the City of Hamburg. The company rank</w:t>
      </w:r>
      <w:r w:rsidR="00014E4B">
        <w:rPr>
          <w:sz w:val="24"/>
          <w:szCs w:val="24"/>
          <w:lang w:val="en-US"/>
        </w:rPr>
        <w:t>s</w:t>
      </w:r>
      <w:r w:rsidRPr="00145049">
        <w:rPr>
          <w:sz w:val="24"/>
          <w:szCs w:val="24"/>
          <w:lang w:val="en-US"/>
        </w:rPr>
        <w:t xml:space="preserve"> among</w:t>
      </w:r>
      <w:r w:rsidR="00014E4B">
        <w:rPr>
          <w:sz w:val="24"/>
          <w:szCs w:val="24"/>
          <w:lang w:val="en-US"/>
        </w:rPr>
        <w:t>st</w:t>
      </w:r>
      <w:r w:rsidRPr="00145049">
        <w:rPr>
          <w:sz w:val="24"/>
          <w:szCs w:val="24"/>
          <w:lang w:val="en-US"/>
        </w:rPr>
        <w:t xml:space="preserve"> the top international investors who have placed </w:t>
      </w:r>
      <w:r w:rsidR="00AC74B9">
        <w:rPr>
          <w:sz w:val="24"/>
          <w:szCs w:val="24"/>
          <w:lang w:val="en-US"/>
        </w:rPr>
        <w:t>–</w:t>
      </w:r>
      <w:r w:rsidR="00AC74B9">
        <w:rPr>
          <w:sz w:val="24"/>
          <w:szCs w:val="24"/>
          <w:lang w:val="en-US"/>
        </w:rPr>
        <w:t xml:space="preserve"> </w:t>
      </w:r>
      <w:r w:rsidRPr="00145049">
        <w:rPr>
          <w:sz w:val="24"/>
          <w:szCs w:val="24"/>
          <w:lang w:val="en-US"/>
        </w:rPr>
        <w:t xml:space="preserve">and are ready to renew </w:t>
      </w:r>
      <w:r w:rsidR="00AC74B9">
        <w:rPr>
          <w:sz w:val="24"/>
          <w:szCs w:val="24"/>
          <w:lang w:val="en-US"/>
        </w:rPr>
        <w:t>–</w:t>
      </w:r>
      <w:r w:rsidRPr="00145049">
        <w:rPr>
          <w:sz w:val="24"/>
          <w:szCs w:val="24"/>
          <w:lang w:val="en-US"/>
        </w:rPr>
        <w:t xml:space="preserve"> their trust in Italy.</w:t>
      </w:r>
    </w:p>
    <w:p w14:paraId="6A33DC9B" w14:textId="7FFC8915" w:rsidR="00145049" w:rsidRPr="00F56FC9" w:rsidRDefault="00145049" w:rsidP="003853F2">
      <w:pPr>
        <w:jc w:val="both"/>
        <w:rPr>
          <w:sz w:val="24"/>
          <w:szCs w:val="24"/>
          <w:lang w:val="en-US"/>
        </w:rPr>
      </w:pPr>
      <w:r w:rsidRPr="00145049">
        <w:rPr>
          <w:sz w:val="24"/>
          <w:szCs w:val="24"/>
          <w:lang w:val="en-US"/>
        </w:rPr>
        <w:t>Hapag</w:t>
      </w:r>
      <w:r w:rsidR="00132586">
        <w:rPr>
          <w:sz w:val="24"/>
          <w:szCs w:val="24"/>
          <w:lang w:val="en-US"/>
        </w:rPr>
        <w:t>-</w:t>
      </w:r>
      <w:r w:rsidRPr="00145049">
        <w:rPr>
          <w:sz w:val="24"/>
          <w:szCs w:val="24"/>
          <w:lang w:val="en-US"/>
        </w:rPr>
        <w:t xml:space="preserve">Lloyd has invested </w:t>
      </w:r>
      <w:r w:rsidR="00014E4B">
        <w:rPr>
          <w:sz w:val="24"/>
          <w:szCs w:val="24"/>
          <w:lang w:val="en-US"/>
        </w:rPr>
        <w:t xml:space="preserve">several hundred million Euro´s </w:t>
      </w:r>
      <w:r w:rsidRPr="00145049">
        <w:rPr>
          <w:sz w:val="24"/>
          <w:szCs w:val="24"/>
          <w:lang w:val="en-US"/>
        </w:rPr>
        <w:t>in the Port of Genoa</w:t>
      </w:r>
      <w:r w:rsidR="003A3BCC">
        <w:rPr>
          <w:sz w:val="24"/>
          <w:szCs w:val="24"/>
          <w:lang w:val="en-US"/>
        </w:rPr>
        <w:t xml:space="preserve"> (</w:t>
      </w:r>
      <w:r w:rsidR="00F07223" w:rsidRPr="00F07223">
        <w:rPr>
          <w:sz w:val="24"/>
          <w:szCs w:val="24"/>
          <w:lang w:val="en-US"/>
        </w:rPr>
        <w:t xml:space="preserve">also in light of major infrastructure projects such as the Breakwater and the Third </w:t>
      </w:r>
      <w:r w:rsidR="003A3BCC">
        <w:rPr>
          <w:sz w:val="24"/>
          <w:szCs w:val="24"/>
          <w:lang w:val="en-US"/>
        </w:rPr>
        <w:t xml:space="preserve">Railway </w:t>
      </w:r>
      <w:r w:rsidR="00F07223" w:rsidRPr="00F07223">
        <w:rPr>
          <w:sz w:val="24"/>
          <w:szCs w:val="24"/>
          <w:lang w:val="en-US"/>
        </w:rPr>
        <w:t>Pass</w:t>
      </w:r>
      <w:r w:rsidR="003A3BCC">
        <w:rPr>
          <w:sz w:val="24"/>
          <w:szCs w:val="24"/>
          <w:lang w:val="en-US"/>
        </w:rPr>
        <w:t>)</w:t>
      </w:r>
      <w:r w:rsidR="00F07223">
        <w:rPr>
          <w:sz w:val="24"/>
          <w:szCs w:val="24"/>
          <w:lang w:val="en-US"/>
        </w:rPr>
        <w:t>,</w:t>
      </w:r>
      <w:r w:rsidR="00F07223" w:rsidRPr="00F07223">
        <w:rPr>
          <w:sz w:val="24"/>
          <w:szCs w:val="24"/>
          <w:lang w:val="en-US"/>
        </w:rPr>
        <w:t xml:space="preserve"> </w:t>
      </w:r>
      <w:r w:rsidRPr="00145049">
        <w:rPr>
          <w:sz w:val="24"/>
          <w:szCs w:val="24"/>
          <w:lang w:val="en-US"/>
        </w:rPr>
        <w:t xml:space="preserve">based on a concession originally set to expire in 2056, </w:t>
      </w:r>
      <w:bookmarkStart w:id="0" w:name="_Hlk198633986"/>
      <w:r w:rsidRPr="00145049">
        <w:rPr>
          <w:sz w:val="24"/>
          <w:szCs w:val="24"/>
          <w:lang w:val="en-US"/>
        </w:rPr>
        <w:t>relying on a stable</w:t>
      </w:r>
      <w:r w:rsidR="00F56FC9">
        <w:rPr>
          <w:sz w:val="24"/>
          <w:szCs w:val="24"/>
          <w:lang w:val="en-US"/>
        </w:rPr>
        <w:t>,</w:t>
      </w:r>
      <w:r w:rsidRPr="00145049">
        <w:rPr>
          <w:sz w:val="24"/>
          <w:szCs w:val="24"/>
          <w:lang w:val="en-US"/>
        </w:rPr>
        <w:t xml:space="preserve"> reliable</w:t>
      </w:r>
      <w:r w:rsidR="00F56FC9">
        <w:rPr>
          <w:sz w:val="24"/>
          <w:szCs w:val="24"/>
          <w:lang w:val="en-US"/>
        </w:rPr>
        <w:t xml:space="preserve">, </w:t>
      </w:r>
      <w:r w:rsidR="00F56FC9" w:rsidRPr="00F56FC9">
        <w:rPr>
          <w:sz w:val="24"/>
          <w:szCs w:val="24"/>
          <w:lang w:val="en-US"/>
        </w:rPr>
        <w:t>trustworthy and transparent cooperation</w:t>
      </w:r>
      <w:r w:rsidR="00F56FC9" w:rsidRPr="00145049">
        <w:rPr>
          <w:sz w:val="24"/>
          <w:szCs w:val="24"/>
          <w:lang w:val="en-US"/>
        </w:rPr>
        <w:t xml:space="preserve"> </w:t>
      </w:r>
      <w:r w:rsidRPr="00145049">
        <w:rPr>
          <w:sz w:val="24"/>
          <w:szCs w:val="24"/>
          <w:lang w:val="en-US"/>
        </w:rPr>
        <w:t xml:space="preserve">relationship with </w:t>
      </w:r>
      <w:r w:rsidR="00F56FC9" w:rsidRPr="00F56FC9">
        <w:rPr>
          <w:sz w:val="24"/>
          <w:szCs w:val="24"/>
          <w:lang w:val="en-US"/>
        </w:rPr>
        <w:t>Italian authorities</w:t>
      </w:r>
      <w:r w:rsidRPr="00145049">
        <w:rPr>
          <w:sz w:val="24"/>
          <w:szCs w:val="24"/>
          <w:lang w:val="en-US"/>
        </w:rPr>
        <w:t xml:space="preserve"> and a clear regulatory framework</w:t>
      </w:r>
      <w:bookmarkEnd w:id="0"/>
      <w:r w:rsidR="00F56FC9" w:rsidRPr="00F56FC9">
        <w:rPr>
          <w:sz w:val="24"/>
          <w:szCs w:val="24"/>
          <w:lang w:val="en-US"/>
        </w:rPr>
        <w:t>.</w:t>
      </w:r>
    </w:p>
    <w:p w14:paraId="62A30F13" w14:textId="56DD04FB" w:rsidR="00145049" w:rsidRPr="00145049" w:rsidRDefault="00145049" w:rsidP="003853F2">
      <w:pPr>
        <w:jc w:val="both"/>
        <w:rPr>
          <w:sz w:val="24"/>
          <w:szCs w:val="24"/>
          <w:lang w:val="en-US"/>
        </w:rPr>
      </w:pPr>
      <w:r w:rsidRPr="00145049">
        <w:rPr>
          <w:sz w:val="24"/>
          <w:szCs w:val="24"/>
          <w:lang w:val="en-US"/>
        </w:rPr>
        <w:t>“</w:t>
      </w:r>
      <w:r w:rsidR="003A3BCC" w:rsidRPr="003A3BCC">
        <w:rPr>
          <w:sz w:val="24"/>
          <w:szCs w:val="24"/>
          <w:lang w:val="en-US"/>
        </w:rPr>
        <w:t>With employment levels having doubled since 2018 and with the company taking direct responsibility for another 700 workers in the port terminal and interconnected logistics</w:t>
      </w:r>
      <w:r w:rsidR="003A3BCC">
        <w:rPr>
          <w:sz w:val="24"/>
          <w:szCs w:val="24"/>
          <w:lang w:val="en-US"/>
        </w:rPr>
        <w:t xml:space="preserve">, today </w:t>
      </w:r>
      <w:r w:rsidRPr="00145049">
        <w:rPr>
          <w:sz w:val="24"/>
          <w:szCs w:val="24"/>
          <w:lang w:val="en-US"/>
        </w:rPr>
        <w:t>we are ready,”</w:t>
      </w:r>
      <w:r w:rsidR="00AB34D5">
        <w:rPr>
          <w:sz w:val="24"/>
          <w:szCs w:val="24"/>
          <w:lang w:val="en-US"/>
        </w:rPr>
        <w:t xml:space="preserve"> </w:t>
      </w:r>
      <w:r w:rsidRPr="00145049">
        <w:rPr>
          <w:sz w:val="24"/>
          <w:szCs w:val="24"/>
          <w:lang w:val="en-US"/>
        </w:rPr>
        <w:t>emphasizes Hapag</w:t>
      </w:r>
      <w:r w:rsidR="00132586">
        <w:rPr>
          <w:sz w:val="24"/>
          <w:szCs w:val="24"/>
          <w:lang w:val="en-US"/>
        </w:rPr>
        <w:t>-L</w:t>
      </w:r>
      <w:r w:rsidRPr="00145049">
        <w:rPr>
          <w:sz w:val="24"/>
          <w:szCs w:val="24"/>
          <w:lang w:val="en-US"/>
        </w:rPr>
        <w:t>loyd Italy, “to reaffirm our strategic choices. That is precisely why we seek the highest level of transparency in our dealings with institutions, as part of our right and duty to protect our investments and, by extension, our shareholders.</w:t>
      </w:r>
    </w:p>
    <w:p w14:paraId="4664BBFF" w14:textId="721C2BED" w:rsidR="00AE432E" w:rsidRDefault="00014E4B" w:rsidP="003853F2">
      <w:pPr>
        <w:jc w:val="both"/>
        <w:rPr>
          <w:sz w:val="24"/>
          <w:szCs w:val="24"/>
          <w:lang w:val="en-US"/>
        </w:rPr>
      </w:pPr>
      <w:r>
        <w:rPr>
          <w:sz w:val="24"/>
          <w:szCs w:val="24"/>
          <w:lang w:val="en-US"/>
        </w:rPr>
        <w:t>With our fleet of around 300</w:t>
      </w:r>
      <w:r w:rsidR="00145049" w:rsidRPr="00145049">
        <w:rPr>
          <w:sz w:val="24"/>
          <w:szCs w:val="24"/>
          <w:lang w:val="en-US"/>
        </w:rPr>
        <w:t xml:space="preserve"> </w:t>
      </w:r>
      <w:r>
        <w:rPr>
          <w:sz w:val="24"/>
          <w:szCs w:val="24"/>
          <w:lang w:val="en-US"/>
        </w:rPr>
        <w:t>ships</w:t>
      </w:r>
      <w:r w:rsidR="00145049" w:rsidRPr="00145049">
        <w:rPr>
          <w:sz w:val="24"/>
          <w:szCs w:val="24"/>
          <w:lang w:val="en-US"/>
        </w:rPr>
        <w:t xml:space="preserve"> and our involvement in the Gemini cooperation </w:t>
      </w:r>
      <w:r>
        <w:rPr>
          <w:sz w:val="24"/>
          <w:szCs w:val="24"/>
          <w:lang w:val="en-US"/>
        </w:rPr>
        <w:t xml:space="preserve">we require </w:t>
      </w:r>
      <w:r w:rsidR="00145049" w:rsidRPr="00145049">
        <w:rPr>
          <w:sz w:val="24"/>
          <w:szCs w:val="24"/>
          <w:lang w:val="en-US"/>
        </w:rPr>
        <w:t xml:space="preserve">certainty </w:t>
      </w:r>
      <w:r>
        <w:rPr>
          <w:sz w:val="24"/>
          <w:szCs w:val="24"/>
          <w:lang w:val="en-US"/>
        </w:rPr>
        <w:t>and predictability to continue to invest and grow our business in Italy</w:t>
      </w:r>
      <w:r w:rsidR="00145049" w:rsidRPr="00145049">
        <w:rPr>
          <w:sz w:val="24"/>
          <w:szCs w:val="24"/>
          <w:lang w:val="en-US"/>
        </w:rPr>
        <w:t xml:space="preserve">. </w:t>
      </w:r>
      <w:r>
        <w:rPr>
          <w:sz w:val="24"/>
          <w:szCs w:val="24"/>
          <w:lang w:val="en-US"/>
        </w:rPr>
        <w:t xml:space="preserve">We cannot execute the plans if we get confronted with </w:t>
      </w:r>
      <w:r w:rsidR="00145049" w:rsidRPr="00145049">
        <w:rPr>
          <w:sz w:val="24"/>
          <w:szCs w:val="24"/>
          <w:lang w:val="en-US"/>
        </w:rPr>
        <w:t xml:space="preserve">a concession that </w:t>
      </w:r>
      <w:r>
        <w:rPr>
          <w:sz w:val="24"/>
          <w:szCs w:val="24"/>
          <w:lang w:val="en-US"/>
        </w:rPr>
        <w:t xml:space="preserve">– beyond our control </w:t>
      </w:r>
      <w:r w:rsidR="00AC74B9">
        <w:rPr>
          <w:sz w:val="24"/>
          <w:szCs w:val="24"/>
          <w:lang w:val="en-US"/>
        </w:rPr>
        <w:t>–</w:t>
      </w:r>
      <w:r>
        <w:rPr>
          <w:sz w:val="24"/>
          <w:szCs w:val="24"/>
          <w:lang w:val="en-US"/>
        </w:rPr>
        <w:t xml:space="preserve"> </w:t>
      </w:r>
      <w:r w:rsidR="00145049" w:rsidRPr="00145049">
        <w:rPr>
          <w:sz w:val="24"/>
          <w:szCs w:val="24"/>
          <w:lang w:val="en-US"/>
        </w:rPr>
        <w:t xml:space="preserve">is </w:t>
      </w:r>
      <w:r w:rsidR="00145049" w:rsidRPr="00145049">
        <w:rPr>
          <w:sz w:val="24"/>
          <w:szCs w:val="24"/>
          <w:lang w:val="en-US"/>
        </w:rPr>
        <w:lastRenderedPageBreak/>
        <w:t>suddenly set to expire at the end of next June, thirty-one years ahead of the original 2056 expiration date that justified our investment in the terminal at the Port of Genoa.”</w:t>
      </w:r>
    </w:p>
    <w:p w14:paraId="5D4CAD99" w14:textId="16221F17" w:rsidR="00E6750E" w:rsidRPr="00E6750E" w:rsidRDefault="00D53A56" w:rsidP="003853F2">
      <w:pPr>
        <w:jc w:val="both"/>
        <w:rPr>
          <w:sz w:val="24"/>
          <w:szCs w:val="24"/>
          <w:lang w:val="en-US"/>
        </w:rPr>
      </w:pPr>
      <w:r>
        <w:rPr>
          <w:sz w:val="24"/>
          <w:szCs w:val="24"/>
          <w:lang w:val="en-US"/>
        </w:rPr>
        <w:t>”</w:t>
      </w:r>
      <w:r w:rsidRPr="00D53A56">
        <w:rPr>
          <w:lang w:val="en-US"/>
        </w:rPr>
        <w:t xml:space="preserve"> </w:t>
      </w:r>
      <w:r w:rsidRPr="00D53A56">
        <w:rPr>
          <w:sz w:val="24"/>
          <w:szCs w:val="24"/>
          <w:lang w:val="en-US"/>
        </w:rPr>
        <w:t>We are confident and trust in the excellent ongoing collaboration with the Italian government, as a foundation for resolving misunderstandings, reactivating the concession, and laying the groundwork for the development of traffic through Genoa and for employment growth”.</w:t>
      </w:r>
    </w:p>
    <w:p w14:paraId="74382714" w14:textId="77777777" w:rsidR="00E6750E" w:rsidRPr="00D53A56" w:rsidRDefault="00E6750E" w:rsidP="00145049">
      <w:pPr>
        <w:rPr>
          <w:sz w:val="24"/>
          <w:szCs w:val="24"/>
          <w:lang w:val="en-US"/>
        </w:rPr>
      </w:pPr>
    </w:p>
    <w:p w14:paraId="44AE8B77" w14:textId="77777777" w:rsidR="00AE432E" w:rsidRPr="00145049" w:rsidRDefault="00AE432E" w:rsidP="00AE432E">
      <w:pPr>
        <w:rPr>
          <w:sz w:val="24"/>
          <w:szCs w:val="24"/>
          <w:lang w:val="en-US"/>
        </w:rPr>
      </w:pPr>
    </w:p>
    <w:p w14:paraId="218D053F" w14:textId="3F61EF3E" w:rsidR="00AE432E" w:rsidRPr="00AE432E" w:rsidRDefault="00145049" w:rsidP="00AE432E">
      <w:pPr>
        <w:spacing w:after="0"/>
        <w:rPr>
          <w:i/>
          <w:iCs/>
          <w:sz w:val="20"/>
          <w:szCs w:val="20"/>
        </w:rPr>
      </w:pPr>
      <w:r>
        <w:rPr>
          <w:i/>
          <w:iCs/>
          <w:sz w:val="20"/>
          <w:szCs w:val="20"/>
        </w:rPr>
        <w:t>For further information</w:t>
      </w:r>
      <w:r w:rsidR="00AE432E" w:rsidRPr="00AE432E">
        <w:rPr>
          <w:i/>
          <w:iCs/>
          <w:sz w:val="20"/>
          <w:szCs w:val="20"/>
        </w:rPr>
        <w:t>:</w:t>
      </w:r>
    </w:p>
    <w:p w14:paraId="3A0F1309" w14:textId="77777777" w:rsidR="00AE432E" w:rsidRPr="00AE432E" w:rsidRDefault="00AE432E" w:rsidP="00AE432E">
      <w:pPr>
        <w:spacing w:after="0"/>
        <w:rPr>
          <w:i/>
          <w:iCs/>
          <w:sz w:val="20"/>
          <w:szCs w:val="20"/>
        </w:rPr>
      </w:pPr>
      <w:r w:rsidRPr="00AE432E">
        <w:rPr>
          <w:i/>
          <w:iCs/>
          <w:sz w:val="20"/>
          <w:szCs w:val="20"/>
        </w:rPr>
        <w:t>Star comunicazione in movimento</w:t>
      </w:r>
      <w:r w:rsidRPr="00AE432E">
        <w:rPr>
          <w:i/>
          <w:iCs/>
          <w:sz w:val="20"/>
          <w:szCs w:val="20"/>
        </w:rPr>
        <w:tab/>
      </w:r>
      <w:r w:rsidRPr="00AE432E">
        <w:rPr>
          <w:i/>
          <w:iCs/>
          <w:sz w:val="20"/>
          <w:szCs w:val="20"/>
        </w:rPr>
        <w:tab/>
      </w:r>
      <w:r w:rsidRPr="00AE432E">
        <w:rPr>
          <w:i/>
          <w:iCs/>
          <w:sz w:val="20"/>
          <w:szCs w:val="20"/>
        </w:rPr>
        <w:tab/>
      </w:r>
    </w:p>
    <w:p w14:paraId="6F5A0F3E" w14:textId="77777777" w:rsidR="00AE432E" w:rsidRPr="00AE432E" w:rsidRDefault="00AE432E" w:rsidP="00AE432E">
      <w:pPr>
        <w:spacing w:after="0"/>
        <w:rPr>
          <w:i/>
          <w:iCs/>
          <w:sz w:val="20"/>
          <w:szCs w:val="20"/>
        </w:rPr>
      </w:pPr>
      <w:r w:rsidRPr="00AE432E">
        <w:rPr>
          <w:i/>
          <w:iCs/>
          <w:sz w:val="20"/>
          <w:szCs w:val="20"/>
        </w:rPr>
        <w:t>Barbara Gazzale</w:t>
      </w:r>
      <w:r w:rsidRPr="00AE432E">
        <w:rPr>
          <w:i/>
          <w:iCs/>
          <w:sz w:val="20"/>
          <w:szCs w:val="20"/>
        </w:rPr>
        <w:tab/>
      </w:r>
      <w:r w:rsidRPr="00AE432E">
        <w:rPr>
          <w:i/>
          <w:iCs/>
          <w:sz w:val="20"/>
          <w:szCs w:val="20"/>
        </w:rPr>
        <w:tab/>
      </w:r>
      <w:r w:rsidRPr="00AE432E">
        <w:rPr>
          <w:i/>
          <w:iCs/>
          <w:sz w:val="20"/>
          <w:szCs w:val="20"/>
        </w:rPr>
        <w:tab/>
      </w:r>
      <w:r w:rsidRPr="00AE432E">
        <w:rPr>
          <w:i/>
          <w:iCs/>
          <w:sz w:val="20"/>
          <w:szCs w:val="20"/>
        </w:rPr>
        <w:tab/>
      </w:r>
      <w:r w:rsidRPr="00AE432E">
        <w:rPr>
          <w:i/>
          <w:iCs/>
          <w:sz w:val="20"/>
          <w:szCs w:val="20"/>
        </w:rPr>
        <w:tab/>
      </w:r>
    </w:p>
    <w:p w14:paraId="6D07A898" w14:textId="77777777" w:rsidR="00AE432E" w:rsidRPr="00AE432E" w:rsidRDefault="00AE432E" w:rsidP="00AE432E">
      <w:pPr>
        <w:spacing w:after="0"/>
        <w:rPr>
          <w:i/>
          <w:iCs/>
          <w:sz w:val="20"/>
          <w:szCs w:val="20"/>
        </w:rPr>
      </w:pPr>
      <w:r w:rsidRPr="00AE432E">
        <w:rPr>
          <w:i/>
          <w:iCs/>
          <w:sz w:val="20"/>
          <w:szCs w:val="20"/>
        </w:rPr>
        <w:t>+39 348 4144780</w:t>
      </w:r>
    </w:p>
    <w:p w14:paraId="59D4A0C8" w14:textId="2202F9F7" w:rsidR="00D8781E" w:rsidRPr="00922064" w:rsidRDefault="00AE432E">
      <w:pPr>
        <w:rPr>
          <w:rFonts w:ascii="Arial" w:hAnsi="Arial" w:cs="Arial"/>
          <w:sz w:val="20"/>
          <w:szCs w:val="20"/>
        </w:rPr>
      </w:pPr>
      <w:r w:rsidRPr="00AE432E">
        <w:rPr>
          <w:i/>
          <w:iCs/>
          <w:sz w:val="20"/>
          <w:szCs w:val="20"/>
        </w:rPr>
        <w:t>+41 78 6433361</w:t>
      </w:r>
    </w:p>
    <w:sectPr w:rsidR="00D8781E" w:rsidRPr="00922064" w:rsidSect="00D8781E">
      <w:headerReference w:type="default" r:id="rId7"/>
      <w:footerReference w:type="default" r:id="rId8"/>
      <w:pgSz w:w="11906" w:h="16838"/>
      <w:pgMar w:top="1440" w:right="1440" w:bottom="1440" w:left="900" w:header="270"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7BE98" w14:textId="77777777" w:rsidR="008B7513" w:rsidRDefault="008B7513" w:rsidP="00D8781E">
      <w:pPr>
        <w:spacing w:after="0" w:line="240" w:lineRule="auto"/>
      </w:pPr>
      <w:r>
        <w:separator/>
      </w:r>
    </w:p>
  </w:endnote>
  <w:endnote w:type="continuationSeparator" w:id="0">
    <w:p w14:paraId="0029A85B" w14:textId="77777777" w:rsidR="008B7513" w:rsidRDefault="008B7513" w:rsidP="00D87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86BE" w14:textId="1A99CB25" w:rsidR="00D8781E" w:rsidRDefault="00D8781E">
    <w:pPr>
      <w:pStyle w:val="Pidipagina"/>
    </w:pPr>
    <w:r w:rsidRPr="00D8781E">
      <w:rPr>
        <w:noProof/>
      </w:rPr>
      <w:drawing>
        <wp:inline distT="0" distB="0" distL="0" distR="0" wp14:anchorId="191312E6" wp14:editId="60F66FD9">
          <wp:extent cx="6779371" cy="940279"/>
          <wp:effectExtent l="0" t="0" r="2540" b="0"/>
          <wp:docPr id="1701242137" name="Picture 1"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74798" name="Picture 1" descr="A close up of a text&#10;&#10;AI-generated content may be incorrect."/>
                  <pic:cNvPicPr/>
                </pic:nvPicPr>
                <pic:blipFill>
                  <a:blip r:embed="rId1"/>
                  <a:stretch>
                    <a:fillRect/>
                  </a:stretch>
                </pic:blipFill>
                <pic:spPr>
                  <a:xfrm>
                    <a:off x="0" y="0"/>
                    <a:ext cx="6874108" cy="9534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F5B70" w14:textId="77777777" w:rsidR="008B7513" w:rsidRDefault="008B7513" w:rsidP="00D8781E">
      <w:pPr>
        <w:spacing w:after="0" w:line="240" w:lineRule="auto"/>
      </w:pPr>
      <w:r>
        <w:separator/>
      </w:r>
    </w:p>
  </w:footnote>
  <w:footnote w:type="continuationSeparator" w:id="0">
    <w:p w14:paraId="1FBFCA9A" w14:textId="77777777" w:rsidR="008B7513" w:rsidRDefault="008B7513" w:rsidP="00D87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D6B3" w14:textId="704A28EC" w:rsidR="00D8781E" w:rsidRDefault="00D8781E">
    <w:pPr>
      <w:pStyle w:val="Intestazione"/>
    </w:pPr>
    <w:r w:rsidRPr="00D8781E">
      <w:rPr>
        <w:rFonts w:ascii="Arial" w:hAnsi="Arial" w:cs="Arial"/>
        <w:noProof/>
        <w:sz w:val="20"/>
        <w:szCs w:val="20"/>
      </w:rPr>
      <w:drawing>
        <wp:inline distT="0" distB="0" distL="0" distR="0" wp14:anchorId="6810EB68" wp14:editId="4B3697FF">
          <wp:extent cx="6619147" cy="655608"/>
          <wp:effectExtent l="0" t="0" r="0" b="0"/>
          <wp:docPr id="488891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08246" name=""/>
                  <pic:cNvPicPr/>
                </pic:nvPicPr>
                <pic:blipFill>
                  <a:blip r:embed="rId1"/>
                  <a:stretch>
                    <a:fillRect/>
                  </a:stretch>
                </pic:blipFill>
                <pic:spPr>
                  <a:xfrm>
                    <a:off x="0" y="0"/>
                    <a:ext cx="6727305" cy="6663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869C6"/>
    <w:multiLevelType w:val="multilevel"/>
    <w:tmpl w:val="320ED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1252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1E"/>
    <w:rsid w:val="00014E4B"/>
    <w:rsid w:val="000377BE"/>
    <w:rsid w:val="00041BFD"/>
    <w:rsid w:val="00073D20"/>
    <w:rsid w:val="00085DC4"/>
    <w:rsid w:val="00086331"/>
    <w:rsid w:val="000A1907"/>
    <w:rsid w:val="00104366"/>
    <w:rsid w:val="0011013B"/>
    <w:rsid w:val="00132586"/>
    <w:rsid w:val="00145049"/>
    <w:rsid w:val="001727E5"/>
    <w:rsid w:val="001C079C"/>
    <w:rsid w:val="001D4871"/>
    <w:rsid w:val="001E0862"/>
    <w:rsid w:val="00336D8C"/>
    <w:rsid w:val="003853F2"/>
    <w:rsid w:val="003A3BCC"/>
    <w:rsid w:val="003B024D"/>
    <w:rsid w:val="004010BB"/>
    <w:rsid w:val="00414439"/>
    <w:rsid w:val="004171A1"/>
    <w:rsid w:val="00483EF0"/>
    <w:rsid w:val="004D459F"/>
    <w:rsid w:val="00506FC9"/>
    <w:rsid w:val="00565DDC"/>
    <w:rsid w:val="005A55C1"/>
    <w:rsid w:val="005A6797"/>
    <w:rsid w:val="005E0B8E"/>
    <w:rsid w:val="006106AA"/>
    <w:rsid w:val="006368B8"/>
    <w:rsid w:val="006401A0"/>
    <w:rsid w:val="006579A3"/>
    <w:rsid w:val="006B59C4"/>
    <w:rsid w:val="00827EBC"/>
    <w:rsid w:val="008B7513"/>
    <w:rsid w:val="00922064"/>
    <w:rsid w:val="009807CC"/>
    <w:rsid w:val="00AB34D5"/>
    <w:rsid w:val="00AC74B9"/>
    <w:rsid w:val="00AE398C"/>
    <w:rsid w:val="00AE432E"/>
    <w:rsid w:val="00BD6E19"/>
    <w:rsid w:val="00C22B06"/>
    <w:rsid w:val="00C54562"/>
    <w:rsid w:val="00D0173D"/>
    <w:rsid w:val="00D06F84"/>
    <w:rsid w:val="00D12506"/>
    <w:rsid w:val="00D14C32"/>
    <w:rsid w:val="00D44A77"/>
    <w:rsid w:val="00D53A56"/>
    <w:rsid w:val="00D8781E"/>
    <w:rsid w:val="00DB3B3A"/>
    <w:rsid w:val="00DB722F"/>
    <w:rsid w:val="00DD1E45"/>
    <w:rsid w:val="00DD4150"/>
    <w:rsid w:val="00E003FA"/>
    <w:rsid w:val="00E0245D"/>
    <w:rsid w:val="00E122F6"/>
    <w:rsid w:val="00E54F2E"/>
    <w:rsid w:val="00E6750E"/>
    <w:rsid w:val="00EA60CD"/>
    <w:rsid w:val="00F07223"/>
    <w:rsid w:val="00F5287E"/>
    <w:rsid w:val="00F56FC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229E"/>
  <w15:chartTrackingRefBased/>
  <w15:docId w15:val="{4637031F-D801-4FA6-ABD2-3D7F5CA32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E432E"/>
    <w:rPr>
      <w:lang w:val="it-CH"/>
    </w:rPr>
  </w:style>
  <w:style w:type="paragraph" w:styleId="Titolo1">
    <w:name w:val="heading 1"/>
    <w:basedOn w:val="Normale"/>
    <w:next w:val="Normale"/>
    <w:link w:val="Titolo1Carattere"/>
    <w:uiPriority w:val="9"/>
    <w:qFormat/>
    <w:rsid w:val="00D8781E"/>
    <w:pPr>
      <w:keepNext/>
      <w:keepLines/>
      <w:spacing w:before="360" w:after="80"/>
      <w:outlineLvl w:val="0"/>
    </w:pPr>
    <w:rPr>
      <w:rFonts w:asciiTheme="majorHAnsi" w:eastAsiaTheme="majorEastAsia" w:hAnsiTheme="majorHAnsi" w:cstheme="majorBidi"/>
      <w:color w:val="0F4761" w:themeColor="accent1" w:themeShade="BF"/>
      <w:sz w:val="40"/>
      <w:szCs w:val="40"/>
      <w:lang w:val="en-GB"/>
    </w:rPr>
  </w:style>
  <w:style w:type="paragraph" w:styleId="Titolo2">
    <w:name w:val="heading 2"/>
    <w:basedOn w:val="Normale"/>
    <w:next w:val="Normale"/>
    <w:link w:val="Titolo2Carattere"/>
    <w:uiPriority w:val="9"/>
    <w:semiHidden/>
    <w:unhideWhenUsed/>
    <w:qFormat/>
    <w:rsid w:val="00D8781E"/>
    <w:pPr>
      <w:keepNext/>
      <w:keepLines/>
      <w:spacing w:before="160" w:after="80"/>
      <w:outlineLvl w:val="1"/>
    </w:pPr>
    <w:rPr>
      <w:rFonts w:asciiTheme="majorHAnsi" w:eastAsiaTheme="majorEastAsia" w:hAnsiTheme="majorHAnsi" w:cstheme="majorBidi"/>
      <w:color w:val="0F4761" w:themeColor="accent1" w:themeShade="BF"/>
      <w:sz w:val="32"/>
      <w:szCs w:val="32"/>
      <w:lang w:val="en-GB"/>
    </w:rPr>
  </w:style>
  <w:style w:type="paragraph" w:styleId="Titolo3">
    <w:name w:val="heading 3"/>
    <w:basedOn w:val="Normale"/>
    <w:next w:val="Normale"/>
    <w:link w:val="Titolo3Carattere"/>
    <w:uiPriority w:val="9"/>
    <w:semiHidden/>
    <w:unhideWhenUsed/>
    <w:qFormat/>
    <w:rsid w:val="00D8781E"/>
    <w:pPr>
      <w:keepNext/>
      <w:keepLines/>
      <w:spacing w:before="160" w:after="80"/>
      <w:outlineLvl w:val="2"/>
    </w:pPr>
    <w:rPr>
      <w:rFonts w:eastAsiaTheme="majorEastAsia" w:cstheme="majorBidi"/>
      <w:color w:val="0F4761" w:themeColor="accent1" w:themeShade="BF"/>
      <w:sz w:val="28"/>
      <w:szCs w:val="28"/>
      <w:lang w:val="en-GB"/>
    </w:rPr>
  </w:style>
  <w:style w:type="paragraph" w:styleId="Titolo4">
    <w:name w:val="heading 4"/>
    <w:basedOn w:val="Normale"/>
    <w:next w:val="Normale"/>
    <w:link w:val="Titolo4Carattere"/>
    <w:uiPriority w:val="9"/>
    <w:semiHidden/>
    <w:unhideWhenUsed/>
    <w:qFormat/>
    <w:rsid w:val="00D8781E"/>
    <w:pPr>
      <w:keepNext/>
      <w:keepLines/>
      <w:spacing w:before="80" w:after="40"/>
      <w:outlineLvl w:val="3"/>
    </w:pPr>
    <w:rPr>
      <w:rFonts w:eastAsiaTheme="majorEastAsia" w:cstheme="majorBidi"/>
      <w:i/>
      <w:iCs/>
      <w:color w:val="0F4761" w:themeColor="accent1" w:themeShade="BF"/>
      <w:lang w:val="en-GB"/>
    </w:rPr>
  </w:style>
  <w:style w:type="paragraph" w:styleId="Titolo5">
    <w:name w:val="heading 5"/>
    <w:basedOn w:val="Normale"/>
    <w:next w:val="Normale"/>
    <w:link w:val="Titolo5Carattere"/>
    <w:uiPriority w:val="9"/>
    <w:semiHidden/>
    <w:unhideWhenUsed/>
    <w:qFormat/>
    <w:rsid w:val="00D8781E"/>
    <w:pPr>
      <w:keepNext/>
      <w:keepLines/>
      <w:spacing w:before="80" w:after="40"/>
      <w:outlineLvl w:val="4"/>
    </w:pPr>
    <w:rPr>
      <w:rFonts w:eastAsiaTheme="majorEastAsia" w:cstheme="majorBidi"/>
      <w:color w:val="0F4761" w:themeColor="accent1" w:themeShade="BF"/>
      <w:lang w:val="en-GB"/>
    </w:rPr>
  </w:style>
  <w:style w:type="paragraph" w:styleId="Titolo6">
    <w:name w:val="heading 6"/>
    <w:basedOn w:val="Normale"/>
    <w:next w:val="Normale"/>
    <w:link w:val="Titolo6Carattere"/>
    <w:uiPriority w:val="9"/>
    <w:semiHidden/>
    <w:unhideWhenUsed/>
    <w:qFormat/>
    <w:rsid w:val="00D8781E"/>
    <w:pPr>
      <w:keepNext/>
      <w:keepLines/>
      <w:spacing w:before="40" w:after="0"/>
      <w:outlineLvl w:val="5"/>
    </w:pPr>
    <w:rPr>
      <w:rFonts w:eastAsiaTheme="majorEastAsia" w:cstheme="majorBidi"/>
      <w:i/>
      <w:iCs/>
      <w:color w:val="595959" w:themeColor="text1" w:themeTint="A6"/>
      <w:lang w:val="en-GB"/>
    </w:rPr>
  </w:style>
  <w:style w:type="paragraph" w:styleId="Titolo7">
    <w:name w:val="heading 7"/>
    <w:basedOn w:val="Normale"/>
    <w:next w:val="Normale"/>
    <w:link w:val="Titolo7Carattere"/>
    <w:uiPriority w:val="9"/>
    <w:semiHidden/>
    <w:unhideWhenUsed/>
    <w:qFormat/>
    <w:rsid w:val="00D8781E"/>
    <w:pPr>
      <w:keepNext/>
      <w:keepLines/>
      <w:spacing w:before="40" w:after="0"/>
      <w:outlineLvl w:val="6"/>
    </w:pPr>
    <w:rPr>
      <w:rFonts w:eastAsiaTheme="majorEastAsia" w:cstheme="majorBidi"/>
      <w:color w:val="595959" w:themeColor="text1" w:themeTint="A6"/>
      <w:lang w:val="en-GB"/>
    </w:rPr>
  </w:style>
  <w:style w:type="paragraph" w:styleId="Titolo8">
    <w:name w:val="heading 8"/>
    <w:basedOn w:val="Normale"/>
    <w:next w:val="Normale"/>
    <w:link w:val="Titolo8Carattere"/>
    <w:uiPriority w:val="9"/>
    <w:semiHidden/>
    <w:unhideWhenUsed/>
    <w:qFormat/>
    <w:rsid w:val="00D8781E"/>
    <w:pPr>
      <w:keepNext/>
      <w:keepLines/>
      <w:spacing w:after="0"/>
      <w:outlineLvl w:val="7"/>
    </w:pPr>
    <w:rPr>
      <w:rFonts w:eastAsiaTheme="majorEastAsia" w:cstheme="majorBidi"/>
      <w:i/>
      <w:iCs/>
      <w:color w:val="272727" w:themeColor="text1" w:themeTint="D8"/>
      <w:lang w:val="en-GB"/>
    </w:rPr>
  </w:style>
  <w:style w:type="paragraph" w:styleId="Titolo9">
    <w:name w:val="heading 9"/>
    <w:basedOn w:val="Normale"/>
    <w:next w:val="Normale"/>
    <w:link w:val="Titolo9Carattere"/>
    <w:uiPriority w:val="9"/>
    <w:semiHidden/>
    <w:unhideWhenUsed/>
    <w:qFormat/>
    <w:rsid w:val="00D8781E"/>
    <w:pPr>
      <w:keepNext/>
      <w:keepLines/>
      <w:spacing w:after="0"/>
      <w:outlineLvl w:val="8"/>
    </w:pPr>
    <w:rPr>
      <w:rFonts w:eastAsiaTheme="majorEastAsia" w:cstheme="majorBidi"/>
      <w:color w:val="272727" w:themeColor="text1" w:themeTint="D8"/>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8781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8781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8781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8781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8781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878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878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878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878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D8781E"/>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oloCarattere">
    <w:name w:val="Titolo Carattere"/>
    <w:basedOn w:val="Carpredefinitoparagrafo"/>
    <w:link w:val="Titolo"/>
    <w:uiPriority w:val="10"/>
    <w:rsid w:val="00D878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8781E"/>
    <w:pPr>
      <w:numPr>
        <w:ilvl w:val="1"/>
      </w:numPr>
    </w:pPr>
    <w:rPr>
      <w:rFonts w:eastAsiaTheme="majorEastAsia" w:cstheme="majorBidi"/>
      <w:color w:val="595959" w:themeColor="text1" w:themeTint="A6"/>
      <w:spacing w:val="15"/>
      <w:sz w:val="28"/>
      <w:szCs w:val="28"/>
      <w:lang w:val="en-GB"/>
    </w:rPr>
  </w:style>
  <w:style w:type="character" w:customStyle="1" w:styleId="SottotitoloCarattere">
    <w:name w:val="Sottotitolo Carattere"/>
    <w:basedOn w:val="Carpredefinitoparagrafo"/>
    <w:link w:val="Sottotitolo"/>
    <w:uiPriority w:val="11"/>
    <w:rsid w:val="00D878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8781E"/>
    <w:pPr>
      <w:spacing w:before="160"/>
      <w:jc w:val="center"/>
    </w:pPr>
    <w:rPr>
      <w:i/>
      <w:iCs/>
      <w:color w:val="404040" w:themeColor="text1" w:themeTint="BF"/>
      <w:lang w:val="en-GB"/>
    </w:rPr>
  </w:style>
  <w:style w:type="character" w:customStyle="1" w:styleId="CitazioneCarattere">
    <w:name w:val="Citazione Carattere"/>
    <w:basedOn w:val="Carpredefinitoparagrafo"/>
    <w:link w:val="Citazione"/>
    <w:uiPriority w:val="29"/>
    <w:rsid w:val="00D8781E"/>
    <w:rPr>
      <w:i/>
      <w:iCs/>
      <w:color w:val="404040" w:themeColor="text1" w:themeTint="BF"/>
    </w:rPr>
  </w:style>
  <w:style w:type="paragraph" w:styleId="Paragrafoelenco">
    <w:name w:val="List Paragraph"/>
    <w:basedOn w:val="Normale"/>
    <w:uiPriority w:val="34"/>
    <w:qFormat/>
    <w:rsid w:val="00D8781E"/>
    <w:pPr>
      <w:ind w:left="720"/>
      <w:contextualSpacing/>
    </w:pPr>
    <w:rPr>
      <w:lang w:val="en-GB"/>
    </w:rPr>
  </w:style>
  <w:style w:type="character" w:styleId="Enfasiintensa">
    <w:name w:val="Intense Emphasis"/>
    <w:basedOn w:val="Carpredefinitoparagrafo"/>
    <w:uiPriority w:val="21"/>
    <w:qFormat/>
    <w:rsid w:val="00D8781E"/>
    <w:rPr>
      <w:i/>
      <w:iCs/>
      <w:color w:val="0F4761" w:themeColor="accent1" w:themeShade="BF"/>
    </w:rPr>
  </w:style>
  <w:style w:type="paragraph" w:styleId="Citazioneintensa">
    <w:name w:val="Intense Quote"/>
    <w:basedOn w:val="Normale"/>
    <w:next w:val="Normale"/>
    <w:link w:val="CitazioneintensaCarattere"/>
    <w:uiPriority w:val="30"/>
    <w:qFormat/>
    <w:rsid w:val="00D87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GB"/>
    </w:rPr>
  </w:style>
  <w:style w:type="character" w:customStyle="1" w:styleId="CitazioneintensaCarattere">
    <w:name w:val="Citazione intensa Carattere"/>
    <w:basedOn w:val="Carpredefinitoparagrafo"/>
    <w:link w:val="Citazioneintensa"/>
    <w:uiPriority w:val="30"/>
    <w:rsid w:val="00D8781E"/>
    <w:rPr>
      <w:i/>
      <w:iCs/>
      <w:color w:val="0F4761" w:themeColor="accent1" w:themeShade="BF"/>
    </w:rPr>
  </w:style>
  <w:style w:type="character" w:styleId="Riferimentointenso">
    <w:name w:val="Intense Reference"/>
    <w:basedOn w:val="Carpredefinitoparagrafo"/>
    <w:uiPriority w:val="32"/>
    <w:qFormat/>
    <w:rsid w:val="00D8781E"/>
    <w:rPr>
      <w:b/>
      <w:bCs/>
      <w:smallCaps/>
      <w:color w:val="0F4761" w:themeColor="accent1" w:themeShade="BF"/>
      <w:spacing w:val="5"/>
    </w:rPr>
  </w:style>
  <w:style w:type="paragraph" w:styleId="Intestazione">
    <w:name w:val="header"/>
    <w:basedOn w:val="Normale"/>
    <w:link w:val="IntestazioneCarattere"/>
    <w:uiPriority w:val="99"/>
    <w:unhideWhenUsed/>
    <w:rsid w:val="00D8781E"/>
    <w:pPr>
      <w:tabs>
        <w:tab w:val="center" w:pos="4513"/>
        <w:tab w:val="right" w:pos="9026"/>
      </w:tabs>
      <w:spacing w:after="0" w:line="240" w:lineRule="auto"/>
    </w:pPr>
    <w:rPr>
      <w:lang w:val="en-GB"/>
    </w:rPr>
  </w:style>
  <w:style w:type="character" w:customStyle="1" w:styleId="IntestazioneCarattere">
    <w:name w:val="Intestazione Carattere"/>
    <w:basedOn w:val="Carpredefinitoparagrafo"/>
    <w:link w:val="Intestazione"/>
    <w:uiPriority w:val="99"/>
    <w:rsid w:val="00D8781E"/>
  </w:style>
  <w:style w:type="paragraph" w:styleId="Pidipagina">
    <w:name w:val="footer"/>
    <w:basedOn w:val="Normale"/>
    <w:link w:val="PidipaginaCarattere"/>
    <w:uiPriority w:val="99"/>
    <w:unhideWhenUsed/>
    <w:rsid w:val="00D8781E"/>
    <w:pPr>
      <w:tabs>
        <w:tab w:val="center" w:pos="4513"/>
        <w:tab w:val="right" w:pos="9026"/>
      </w:tabs>
      <w:spacing w:after="0" w:line="240" w:lineRule="auto"/>
    </w:pPr>
    <w:rPr>
      <w:lang w:val="en-GB"/>
    </w:rPr>
  </w:style>
  <w:style w:type="character" w:customStyle="1" w:styleId="PidipaginaCarattere">
    <w:name w:val="Piè di pagina Carattere"/>
    <w:basedOn w:val="Carpredefinitoparagrafo"/>
    <w:link w:val="Pidipagina"/>
    <w:uiPriority w:val="99"/>
    <w:rsid w:val="00D87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27191">
      <w:bodyDiv w:val="1"/>
      <w:marLeft w:val="0"/>
      <w:marRight w:val="0"/>
      <w:marTop w:val="0"/>
      <w:marBottom w:val="0"/>
      <w:divBdr>
        <w:top w:val="none" w:sz="0" w:space="0" w:color="auto"/>
        <w:left w:val="none" w:sz="0" w:space="0" w:color="auto"/>
        <w:bottom w:val="none" w:sz="0" w:space="0" w:color="auto"/>
        <w:right w:val="none" w:sz="0" w:space="0" w:color="auto"/>
      </w:divBdr>
    </w:div>
    <w:div w:id="143583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415</Words>
  <Characters>2366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Gucciardi, Ernesto</dc:creator>
  <cp:keywords/>
  <dc:description/>
  <cp:lastModifiedBy>info starcomunicazione</cp:lastModifiedBy>
  <cp:revision>6</cp:revision>
  <dcterms:created xsi:type="dcterms:W3CDTF">2025-05-21T05:25:00Z</dcterms:created>
  <dcterms:modified xsi:type="dcterms:W3CDTF">2025-05-21T07:56:00Z</dcterms:modified>
</cp:coreProperties>
</file>