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D2482" w14:textId="0A4A9399" w:rsidR="00AA174D" w:rsidRPr="00AA174D" w:rsidRDefault="00AA174D" w:rsidP="00AA174D">
      <w:pPr>
        <w:jc w:val="center"/>
        <w:rPr>
          <w:rFonts w:ascii="Arial" w:hAnsi="Arial" w:cs="Arial"/>
          <w:sz w:val="36"/>
          <w:szCs w:val="36"/>
        </w:rPr>
      </w:pPr>
      <w:r w:rsidRPr="00AA174D">
        <w:rPr>
          <w:rFonts w:ascii="Arial" w:hAnsi="Arial" w:cs="Arial"/>
          <w:sz w:val="36"/>
          <w:szCs w:val="36"/>
        </w:rPr>
        <w:t>Commissio</w:t>
      </w:r>
      <w:r w:rsidRPr="00AA174D">
        <w:rPr>
          <w:rFonts w:ascii="Arial" w:hAnsi="Arial" w:cs="Arial"/>
          <w:sz w:val="36"/>
          <w:szCs w:val="36"/>
        </w:rPr>
        <w:t>ne europea a gamba tesa su ASPI</w:t>
      </w:r>
    </w:p>
    <w:p w14:paraId="50AA7AFE" w14:textId="0D8E6147" w:rsidR="00B65144" w:rsidRPr="00AA174D" w:rsidRDefault="00AA174D" w:rsidP="00AA174D">
      <w:pPr>
        <w:jc w:val="center"/>
        <w:rPr>
          <w:rFonts w:ascii="Arial" w:hAnsi="Arial" w:cs="Arial"/>
          <w:sz w:val="36"/>
          <w:szCs w:val="36"/>
        </w:rPr>
      </w:pPr>
      <w:r w:rsidRPr="00AA174D">
        <w:rPr>
          <w:rFonts w:ascii="Arial" w:hAnsi="Arial" w:cs="Arial"/>
          <w:sz w:val="36"/>
          <w:szCs w:val="36"/>
        </w:rPr>
        <w:t>Aveva ragione il Comitato San Cristoforo</w:t>
      </w:r>
    </w:p>
    <w:p w14:paraId="6A0CFBD8" w14:textId="77777777" w:rsidR="00AA174D" w:rsidRPr="001F3633" w:rsidRDefault="00AA174D" w:rsidP="00AA174D">
      <w:pPr>
        <w:jc w:val="center"/>
        <w:rPr>
          <w:rFonts w:ascii="Arial" w:hAnsi="Arial" w:cs="Arial"/>
          <w:sz w:val="24"/>
          <w:szCs w:val="24"/>
        </w:rPr>
      </w:pPr>
    </w:p>
    <w:p w14:paraId="09D0D30F" w14:textId="0AC6E10A" w:rsidR="00AA174D" w:rsidRPr="00AA174D" w:rsidRDefault="00AA174D" w:rsidP="00AA174D">
      <w:pPr>
        <w:jc w:val="both"/>
        <w:rPr>
          <w:rFonts w:ascii="Arial" w:hAnsi="Arial" w:cs="Arial"/>
          <w:sz w:val="24"/>
          <w:szCs w:val="24"/>
        </w:rPr>
      </w:pPr>
      <w:r w:rsidRPr="00AA174D">
        <w:rPr>
          <w:rFonts w:ascii="Arial" w:hAnsi="Arial" w:cs="Arial"/>
          <w:sz w:val="24"/>
          <w:szCs w:val="24"/>
        </w:rPr>
        <w:t xml:space="preserve">Non si può acquisire una società, nel caso ASPI, utilizzando i proventi dei pedaggi e, beneficiando, direttamente o indirettamente (attraverso anche l’utilizzo di strumenti leciti quali OPA e </w:t>
      </w:r>
      <w:proofErr w:type="spellStart"/>
      <w:r w:rsidRPr="00AA174D">
        <w:rPr>
          <w:rFonts w:ascii="Arial" w:hAnsi="Arial" w:cs="Arial"/>
          <w:sz w:val="24"/>
          <w:szCs w:val="24"/>
        </w:rPr>
        <w:t>leverege</w:t>
      </w:r>
      <w:proofErr w:type="spellEnd"/>
      <w:r w:rsidRPr="00AA174D">
        <w:rPr>
          <w:rFonts w:ascii="Arial" w:hAnsi="Arial" w:cs="Arial"/>
          <w:sz w:val="24"/>
          <w:szCs w:val="24"/>
        </w:rPr>
        <w:t xml:space="preserve"> by out) come accaduto nel caso di </w:t>
      </w:r>
      <w:proofErr w:type="spellStart"/>
      <w:r w:rsidRPr="00AA174D">
        <w:rPr>
          <w:rFonts w:ascii="Arial" w:hAnsi="Arial" w:cs="Arial"/>
          <w:sz w:val="24"/>
          <w:szCs w:val="24"/>
        </w:rPr>
        <w:t>Atlant</w:t>
      </w:r>
      <w:r w:rsidRPr="00AA174D">
        <w:rPr>
          <w:rFonts w:ascii="Arial" w:hAnsi="Arial" w:cs="Arial"/>
          <w:sz w:val="24"/>
          <w:szCs w:val="24"/>
        </w:rPr>
        <w:t>ia</w:t>
      </w:r>
      <w:proofErr w:type="spellEnd"/>
      <w:r w:rsidRPr="00AA174D">
        <w:rPr>
          <w:rFonts w:ascii="Arial" w:hAnsi="Arial" w:cs="Arial"/>
          <w:sz w:val="24"/>
          <w:szCs w:val="24"/>
        </w:rPr>
        <w:t>, di fatto di aiuti di Stato.</w:t>
      </w:r>
    </w:p>
    <w:p w14:paraId="76B11A79" w14:textId="7B059E64" w:rsidR="00AA174D" w:rsidRPr="00AA174D" w:rsidRDefault="00AA174D" w:rsidP="00AA174D">
      <w:pPr>
        <w:jc w:val="both"/>
        <w:rPr>
          <w:rFonts w:ascii="Arial" w:hAnsi="Arial" w:cs="Arial"/>
          <w:sz w:val="24"/>
          <w:szCs w:val="24"/>
        </w:rPr>
      </w:pPr>
      <w:r w:rsidRPr="00AA174D">
        <w:rPr>
          <w:rFonts w:ascii="Arial" w:hAnsi="Arial" w:cs="Arial"/>
          <w:sz w:val="24"/>
          <w:szCs w:val="24"/>
        </w:rPr>
        <w:t>Rispondendo</w:t>
      </w:r>
      <w:r w:rsidRPr="00AA174D">
        <w:rPr>
          <w:rFonts w:ascii="Arial" w:hAnsi="Arial" w:cs="Arial"/>
          <w:sz w:val="24"/>
          <w:szCs w:val="24"/>
        </w:rPr>
        <w:t xml:space="preserve"> a una interrogazione della Lega, la Commissione europea, in seguito alla denuncia depositata dal </w:t>
      </w:r>
      <w:r w:rsidRPr="00AA174D">
        <w:rPr>
          <w:rFonts w:ascii="Arial" w:hAnsi="Arial" w:cs="Arial"/>
          <w:sz w:val="24"/>
          <w:szCs w:val="24"/>
        </w:rPr>
        <w:t>C</w:t>
      </w:r>
      <w:r w:rsidRPr="00AA174D">
        <w:rPr>
          <w:rFonts w:ascii="Arial" w:hAnsi="Arial" w:cs="Arial"/>
          <w:sz w:val="24"/>
          <w:szCs w:val="24"/>
        </w:rPr>
        <w:t xml:space="preserve">omitato San Cristoforo, ha nei fatti confermato la tesi sostenuta dal Comitato che, in rappresentanza di diverse categorie imprenditoriali, da sempre sostiene l’illegittimità nelle procedure che hanno portato a finanziare l’acquisizione di </w:t>
      </w:r>
      <w:r w:rsidRPr="00AA174D">
        <w:rPr>
          <w:rFonts w:ascii="Arial" w:hAnsi="Arial" w:cs="Arial"/>
          <w:sz w:val="24"/>
          <w:szCs w:val="24"/>
        </w:rPr>
        <w:t>ASPI</w:t>
      </w:r>
      <w:r w:rsidRPr="00AA174D">
        <w:rPr>
          <w:rFonts w:ascii="Arial" w:hAnsi="Arial" w:cs="Arial"/>
          <w:sz w:val="24"/>
          <w:szCs w:val="24"/>
        </w:rPr>
        <w:t xml:space="preserve">, da parte di </w:t>
      </w:r>
      <w:proofErr w:type="spellStart"/>
      <w:r w:rsidRPr="00AA174D">
        <w:rPr>
          <w:rFonts w:ascii="Arial" w:hAnsi="Arial" w:cs="Arial"/>
          <w:sz w:val="24"/>
          <w:szCs w:val="24"/>
        </w:rPr>
        <w:t>Atlantia</w:t>
      </w:r>
      <w:proofErr w:type="spellEnd"/>
      <w:r w:rsidRPr="00AA174D">
        <w:rPr>
          <w:rFonts w:ascii="Arial" w:hAnsi="Arial" w:cs="Arial"/>
          <w:sz w:val="24"/>
          <w:szCs w:val="24"/>
        </w:rPr>
        <w:t>, utilizzando proventi che avrebbero dovuto essere spesi per garantire la gestione del servizio autostradale, in primis le manutenzioni</w:t>
      </w:r>
      <w:r>
        <w:rPr>
          <w:rFonts w:ascii="Arial" w:hAnsi="Arial" w:cs="Arial"/>
          <w:sz w:val="24"/>
          <w:szCs w:val="24"/>
        </w:rPr>
        <w:t>,</w:t>
      </w:r>
      <w:r w:rsidRPr="00AA174D">
        <w:rPr>
          <w:rFonts w:ascii="Arial" w:hAnsi="Arial" w:cs="Arial"/>
          <w:sz w:val="24"/>
          <w:szCs w:val="24"/>
        </w:rPr>
        <w:t xml:space="preserve"> quindi gli investimenti in nuove infrastrutture. Non soddisfacendo i criteri stabiliti dalla Corte di Giustizia con la</w:t>
      </w:r>
      <w:r>
        <w:rPr>
          <w:rFonts w:ascii="Arial" w:hAnsi="Arial" w:cs="Arial"/>
          <w:sz w:val="24"/>
          <w:szCs w:val="24"/>
        </w:rPr>
        <w:t xml:space="preserve"> sentenza </w:t>
      </w:r>
      <w:proofErr w:type="spellStart"/>
      <w:r>
        <w:rPr>
          <w:rFonts w:ascii="Arial" w:hAnsi="Arial" w:cs="Arial"/>
          <w:sz w:val="24"/>
          <w:szCs w:val="24"/>
        </w:rPr>
        <w:t>Altmark</w:t>
      </w:r>
      <w:proofErr w:type="spellEnd"/>
      <w:r>
        <w:rPr>
          <w:rFonts w:ascii="Arial" w:hAnsi="Arial" w:cs="Arial"/>
          <w:sz w:val="24"/>
          <w:szCs w:val="24"/>
        </w:rPr>
        <w:t xml:space="preserve"> sul tema del </w:t>
      </w:r>
      <w:r w:rsidRPr="00AA174D">
        <w:rPr>
          <w:rFonts w:ascii="Arial" w:hAnsi="Arial" w:cs="Arial"/>
          <w:sz w:val="24"/>
          <w:szCs w:val="24"/>
        </w:rPr>
        <w:t>margine di utile ragionevole per un servizio di interesse pubblico generale dato in concessione, la partita autostrade può ria</w:t>
      </w:r>
      <w:r>
        <w:rPr>
          <w:rFonts w:ascii="Arial" w:hAnsi="Arial" w:cs="Arial"/>
          <w:sz w:val="24"/>
          <w:szCs w:val="24"/>
        </w:rPr>
        <w:t>prirsi oggi su tutto il fronte.</w:t>
      </w:r>
    </w:p>
    <w:p w14:paraId="4177890C" w14:textId="2A2F1BDE" w:rsidR="00AA174D" w:rsidRDefault="00AA174D" w:rsidP="00AA174D">
      <w:pPr>
        <w:jc w:val="both"/>
        <w:rPr>
          <w:rFonts w:ascii="Arial" w:hAnsi="Arial" w:cs="Arial"/>
          <w:sz w:val="24"/>
          <w:szCs w:val="24"/>
        </w:rPr>
      </w:pPr>
      <w:r w:rsidRPr="00AA174D">
        <w:rPr>
          <w:rFonts w:ascii="Arial" w:hAnsi="Arial" w:cs="Arial"/>
          <w:sz w:val="24"/>
          <w:szCs w:val="24"/>
        </w:rPr>
        <w:t>Secondo i legal</w:t>
      </w:r>
      <w:r>
        <w:rPr>
          <w:rFonts w:ascii="Arial" w:hAnsi="Arial" w:cs="Arial"/>
          <w:sz w:val="24"/>
          <w:szCs w:val="24"/>
        </w:rPr>
        <w:t>i del Comitato San Cri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stoforo (</w:t>
      </w:r>
      <w:r w:rsidRPr="00AA174D">
        <w:rPr>
          <w:rFonts w:ascii="Arial" w:hAnsi="Arial" w:cs="Arial"/>
          <w:sz w:val="24"/>
          <w:szCs w:val="24"/>
        </w:rPr>
        <w:t>Andrea Mortara, R</w:t>
      </w:r>
      <w:r>
        <w:rPr>
          <w:rFonts w:ascii="Arial" w:hAnsi="Arial" w:cs="Arial"/>
          <w:sz w:val="24"/>
          <w:szCs w:val="24"/>
        </w:rPr>
        <w:t xml:space="preserve">affaele Caruso, Andrea </w:t>
      </w:r>
      <w:proofErr w:type="spellStart"/>
      <w:r>
        <w:rPr>
          <w:rFonts w:ascii="Arial" w:hAnsi="Arial" w:cs="Arial"/>
          <w:sz w:val="24"/>
          <w:szCs w:val="24"/>
        </w:rPr>
        <w:t>Ganzer</w:t>
      </w:r>
      <w:proofErr w:type="spellEnd"/>
      <w:r>
        <w:rPr>
          <w:rFonts w:ascii="Arial" w:hAnsi="Arial" w:cs="Arial"/>
          <w:sz w:val="24"/>
          <w:szCs w:val="24"/>
        </w:rPr>
        <w:t xml:space="preserve"> e</w:t>
      </w:r>
      <w:r w:rsidRPr="00AA174D">
        <w:rPr>
          <w:rFonts w:ascii="Arial" w:hAnsi="Arial" w:cs="Arial"/>
          <w:sz w:val="24"/>
          <w:szCs w:val="24"/>
        </w:rPr>
        <w:t xml:space="preserve"> i professori Ruggiero </w:t>
      </w:r>
      <w:proofErr w:type="spellStart"/>
      <w:r w:rsidRPr="00AA174D">
        <w:rPr>
          <w:rFonts w:ascii="Arial" w:hAnsi="Arial" w:cs="Arial"/>
          <w:sz w:val="24"/>
          <w:szCs w:val="24"/>
        </w:rPr>
        <w:t>Cafari</w:t>
      </w:r>
      <w:proofErr w:type="spellEnd"/>
      <w:r w:rsidRPr="00AA174D">
        <w:rPr>
          <w:rFonts w:ascii="Arial" w:hAnsi="Arial" w:cs="Arial"/>
          <w:sz w:val="24"/>
          <w:szCs w:val="24"/>
        </w:rPr>
        <w:t xml:space="preserve"> Panico e An</w:t>
      </w:r>
      <w:r>
        <w:rPr>
          <w:rFonts w:ascii="Arial" w:hAnsi="Arial" w:cs="Arial"/>
          <w:sz w:val="24"/>
          <w:szCs w:val="24"/>
        </w:rPr>
        <w:t xml:space="preserve">drea </w:t>
      </w:r>
      <w:proofErr w:type="spellStart"/>
      <w:r>
        <w:rPr>
          <w:rFonts w:ascii="Arial" w:hAnsi="Arial" w:cs="Arial"/>
          <w:sz w:val="24"/>
          <w:szCs w:val="24"/>
        </w:rPr>
        <w:t>Pericu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AA174D">
        <w:rPr>
          <w:rFonts w:ascii="Arial" w:hAnsi="Arial" w:cs="Arial"/>
          <w:sz w:val="24"/>
          <w:szCs w:val="24"/>
        </w:rPr>
        <w:t>, che rappresenta</w:t>
      </w:r>
      <w:r>
        <w:rPr>
          <w:rFonts w:ascii="Arial" w:hAnsi="Arial" w:cs="Arial"/>
          <w:sz w:val="24"/>
          <w:szCs w:val="24"/>
        </w:rPr>
        <w:t>no</w:t>
      </w:r>
      <w:r w:rsidRPr="00AA1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174D">
        <w:rPr>
          <w:rFonts w:ascii="Arial" w:hAnsi="Arial" w:cs="Arial"/>
          <w:sz w:val="24"/>
          <w:szCs w:val="24"/>
        </w:rPr>
        <w:t>Assiterminal</w:t>
      </w:r>
      <w:proofErr w:type="spellEnd"/>
      <w:r w:rsidRPr="00AA174D">
        <w:rPr>
          <w:rFonts w:ascii="Arial" w:hAnsi="Arial" w:cs="Arial"/>
          <w:sz w:val="24"/>
          <w:szCs w:val="24"/>
        </w:rPr>
        <w:t xml:space="preserve"> (l'Associazione nazionale dei terminalisti portuali), </w:t>
      </w:r>
      <w:r w:rsidRPr="00AA174D">
        <w:rPr>
          <w:rFonts w:ascii="Arial" w:hAnsi="Arial" w:cs="Arial"/>
          <w:sz w:val="24"/>
          <w:szCs w:val="24"/>
        </w:rPr>
        <w:t>CNA</w:t>
      </w:r>
      <w:r w:rsidRPr="00AA174D">
        <w:rPr>
          <w:rFonts w:ascii="Arial" w:hAnsi="Arial" w:cs="Arial"/>
          <w:sz w:val="24"/>
          <w:szCs w:val="24"/>
        </w:rPr>
        <w:t xml:space="preserve"> regionale e provinciale  (Associazione di rappresentanza degli artigiani e delle piccole e medie imprese e della FITA), </w:t>
      </w:r>
      <w:r w:rsidRPr="00AA174D">
        <w:rPr>
          <w:rFonts w:ascii="Arial" w:hAnsi="Arial" w:cs="Arial"/>
          <w:sz w:val="24"/>
          <w:szCs w:val="24"/>
        </w:rPr>
        <w:t>TRASPORTOUNITO</w:t>
      </w:r>
      <w:r w:rsidRPr="00AA174D">
        <w:rPr>
          <w:rFonts w:ascii="Arial" w:hAnsi="Arial" w:cs="Arial"/>
          <w:sz w:val="24"/>
          <w:szCs w:val="24"/>
        </w:rPr>
        <w:t xml:space="preserve"> (in rappresentanza del mondo dell'autotrasporto) e USARCI SPARCI (Sindacato Ligure degli Agenti di Commercio),</w:t>
      </w:r>
      <w:r>
        <w:rPr>
          <w:rFonts w:ascii="Arial" w:hAnsi="Arial" w:cs="Arial"/>
          <w:sz w:val="24"/>
          <w:szCs w:val="24"/>
        </w:rPr>
        <w:t xml:space="preserve"> </w:t>
      </w:r>
      <w:r w:rsidRPr="00AA174D">
        <w:rPr>
          <w:rFonts w:ascii="Arial" w:hAnsi="Arial" w:cs="Arial"/>
          <w:sz w:val="24"/>
          <w:szCs w:val="24"/>
        </w:rPr>
        <w:t>oltre al Comitato zona Arancione</w:t>
      </w:r>
      <w:r>
        <w:rPr>
          <w:rFonts w:ascii="Arial" w:hAnsi="Arial" w:cs="Arial"/>
          <w:sz w:val="24"/>
          <w:szCs w:val="24"/>
        </w:rPr>
        <w:t>,</w:t>
      </w:r>
      <w:r w:rsidRPr="00AA174D">
        <w:rPr>
          <w:rFonts w:ascii="Arial" w:hAnsi="Arial" w:cs="Arial"/>
          <w:sz w:val="24"/>
          <w:szCs w:val="24"/>
        </w:rPr>
        <w:t xml:space="preserve"> ogni atto compiuto in questi mesi</w:t>
      </w:r>
      <w:r>
        <w:rPr>
          <w:rFonts w:ascii="Arial" w:hAnsi="Arial" w:cs="Arial"/>
          <w:sz w:val="24"/>
          <w:szCs w:val="24"/>
        </w:rPr>
        <w:t>,</w:t>
      </w:r>
      <w:r w:rsidRPr="00AA174D">
        <w:rPr>
          <w:rFonts w:ascii="Arial" w:hAnsi="Arial" w:cs="Arial"/>
          <w:sz w:val="24"/>
          <w:szCs w:val="24"/>
        </w:rPr>
        <w:t xml:space="preserve"> inclusa la recente cessione di ASPI a Cassa Depositi e Prestiti, potrebbe incorrere nel rischio di nullità, con conseguente riapertura a 360 gradi del contenzioso e focalizzazione del confronto sul tema dell’utilizzo degli utili di esercizio da parte di </w:t>
      </w:r>
      <w:proofErr w:type="spellStart"/>
      <w:r w:rsidRPr="00AA174D">
        <w:rPr>
          <w:rFonts w:ascii="Arial" w:hAnsi="Arial" w:cs="Arial"/>
          <w:sz w:val="24"/>
          <w:szCs w:val="24"/>
        </w:rPr>
        <w:t>Atlantia</w:t>
      </w:r>
      <w:proofErr w:type="spellEnd"/>
      <w:r w:rsidRPr="00AA174D">
        <w:rPr>
          <w:rFonts w:ascii="Arial" w:hAnsi="Arial" w:cs="Arial"/>
          <w:sz w:val="24"/>
          <w:szCs w:val="24"/>
        </w:rPr>
        <w:t xml:space="preserve">. Ciò renderebbe probabile la riapertura anche presso la magistratura italiana del dossier relativo al sequestro delle azioni di </w:t>
      </w:r>
      <w:r w:rsidRPr="00AA174D">
        <w:rPr>
          <w:rFonts w:ascii="Arial" w:hAnsi="Arial" w:cs="Arial"/>
          <w:sz w:val="24"/>
          <w:szCs w:val="24"/>
        </w:rPr>
        <w:t>ASPI</w:t>
      </w:r>
      <w:r w:rsidRPr="00AA174D">
        <w:rPr>
          <w:rFonts w:ascii="Arial" w:hAnsi="Arial" w:cs="Arial"/>
          <w:sz w:val="24"/>
          <w:szCs w:val="24"/>
        </w:rPr>
        <w:t>, come richiesto da parte del Comitato San Cristoforo.</w:t>
      </w:r>
    </w:p>
    <w:p w14:paraId="21D16069" w14:textId="77777777" w:rsidR="00AA174D" w:rsidRDefault="00AA174D" w:rsidP="00AA174D">
      <w:pPr>
        <w:jc w:val="both"/>
        <w:rPr>
          <w:rFonts w:ascii="Arial" w:hAnsi="Arial" w:cs="Arial"/>
          <w:sz w:val="24"/>
          <w:szCs w:val="24"/>
        </w:rPr>
      </w:pPr>
    </w:p>
    <w:p w14:paraId="786C67D2" w14:textId="30E3C867" w:rsidR="00AA174D" w:rsidRDefault="001F3633">
      <w:pPr>
        <w:rPr>
          <w:rFonts w:ascii="Arial" w:hAnsi="Arial" w:cs="Arial"/>
          <w:i/>
          <w:iCs/>
        </w:rPr>
      </w:pPr>
      <w:r w:rsidRPr="001F3633">
        <w:rPr>
          <w:rFonts w:ascii="Arial" w:hAnsi="Arial" w:cs="Arial"/>
          <w:i/>
          <w:iCs/>
        </w:rPr>
        <w:t xml:space="preserve">Genova, </w:t>
      </w:r>
      <w:r w:rsidR="006D37EF">
        <w:rPr>
          <w:rFonts w:ascii="Arial" w:hAnsi="Arial" w:cs="Arial"/>
          <w:i/>
          <w:iCs/>
        </w:rPr>
        <w:t>16 giugno</w:t>
      </w:r>
      <w:r w:rsidRPr="001F3633">
        <w:rPr>
          <w:rFonts w:ascii="Arial" w:hAnsi="Arial" w:cs="Arial"/>
          <w:i/>
          <w:iCs/>
        </w:rPr>
        <w:t xml:space="preserve"> 2021</w:t>
      </w:r>
    </w:p>
    <w:p w14:paraId="3151047F" w14:textId="77777777" w:rsidR="00AA174D" w:rsidRPr="006D37EF" w:rsidRDefault="00AA174D">
      <w:pPr>
        <w:rPr>
          <w:rFonts w:ascii="Arial" w:hAnsi="Arial" w:cs="Arial"/>
          <w:i/>
          <w:iCs/>
        </w:rPr>
      </w:pPr>
    </w:p>
    <w:p w14:paraId="3182755D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Per ulteriori informazioni:</w:t>
      </w:r>
    </w:p>
    <w:p w14:paraId="74DD3CFC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Star comunicazione in movimento</w:t>
      </w:r>
    </w:p>
    <w:p w14:paraId="66798555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1F3633">
        <w:rPr>
          <w:rFonts w:ascii="Arial" w:hAnsi="Arial" w:cs="Arial"/>
          <w:sz w:val="20"/>
          <w:szCs w:val="20"/>
        </w:rPr>
        <w:t>Gazzale</w:t>
      </w:r>
      <w:proofErr w:type="spellEnd"/>
    </w:p>
    <w:p w14:paraId="5EFCFC66" w14:textId="15EFD6CC" w:rsidR="001F3633" w:rsidRPr="001F3633" w:rsidRDefault="001F3633" w:rsidP="003949F9">
      <w:pPr>
        <w:tabs>
          <w:tab w:val="left" w:pos="3780"/>
        </w:tabs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0041 786433361</w:t>
      </w:r>
      <w:r w:rsidR="003949F9">
        <w:rPr>
          <w:rFonts w:ascii="Arial" w:hAnsi="Arial" w:cs="Arial"/>
          <w:sz w:val="20"/>
          <w:szCs w:val="20"/>
        </w:rPr>
        <w:tab/>
      </w:r>
    </w:p>
    <w:p w14:paraId="16381D74" w14:textId="2A6BABD3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0039 3484144780</w:t>
      </w:r>
    </w:p>
    <w:sectPr w:rsidR="001F3633" w:rsidRPr="001F3633" w:rsidSect="003C374E">
      <w:headerReference w:type="default" r:id="rId6"/>
      <w:footerReference w:type="default" r:id="rId7"/>
      <w:pgSz w:w="11906" w:h="16838"/>
      <w:pgMar w:top="3261" w:right="1134" w:bottom="1701" w:left="1134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B1CF8" w14:textId="77777777" w:rsidR="003A3801" w:rsidRDefault="003A3801" w:rsidP="001F3633">
      <w:pPr>
        <w:spacing w:after="0" w:line="240" w:lineRule="auto"/>
      </w:pPr>
      <w:r>
        <w:separator/>
      </w:r>
    </w:p>
  </w:endnote>
  <w:endnote w:type="continuationSeparator" w:id="0">
    <w:p w14:paraId="180DE85D" w14:textId="77777777" w:rsidR="003A3801" w:rsidRDefault="003A3801" w:rsidP="001F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BB1E3" w14:textId="444F8A00" w:rsidR="001F3633" w:rsidRDefault="00F84EFF" w:rsidP="001F3633">
    <w:pPr>
      <w:pStyle w:val="Pidipagina"/>
      <w:ind w:left="-567"/>
    </w:pPr>
    <w:r>
      <w:rPr>
        <w:noProof/>
        <w:lang w:eastAsia="it-CH"/>
      </w:rPr>
      <w:drawing>
        <wp:anchor distT="0" distB="0" distL="114300" distR="114300" simplePos="0" relativeHeight="251665408" behindDoc="0" locked="0" layoutInCell="1" allowOverlap="1" wp14:anchorId="39B69EB9" wp14:editId="09026A75">
          <wp:simplePos x="0" y="0"/>
          <wp:positionH relativeFrom="column">
            <wp:posOffset>4775835</wp:posOffset>
          </wp:positionH>
          <wp:positionV relativeFrom="paragraph">
            <wp:posOffset>-441325</wp:posOffset>
          </wp:positionV>
          <wp:extent cx="650875" cy="581025"/>
          <wp:effectExtent l="0" t="0" r="0" b="9525"/>
          <wp:wrapSquare wrapText="bothSides"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7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CH"/>
      </w:rPr>
      <w:drawing>
        <wp:anchor distT="0" distB="0" distL="114300" distR="114300" simplePos="0" relativeHeight="251663360" behindDoc="0" locked="0" layoutInCell="1" allowOverlap="1" wp14:anchorId="6CB53E86" wp14:editId="50FB6EEB">
          <wp:simplePos x="0" y="0"/>
          <wp:positionH relativeFrom="column">
            <wp:posOffset>1165860</wp:posOffset>
          </wp:positionH>
          <wp:positionV relativeFrom="paragraph">
            <wp:posOffset>-342900</wp:posOffset>
          </wp:positionV>
          <wp:extent cx="1419225" cy="478155"/>
          <wp:effectExtent l="0" t="0" r="9525" b="0"/>
          <wp:wrapSquare wrapText="bothSides"/>
          <wp:docPr id="69" name="Immagin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478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CH"/>
      </w:rPr>
      <w:drawing>
        <wp:anchor distT="0" distB="0" distL="114300" distR="114300" simplePos="0" relativeHeight="251662336" behindDoc="0" locked="0" layoutInCell="1" allowOverlap="1" wp14:anchorId="2B7BA6F4" wp14:editId="137B3D79">
          <wp:simplePos x="0" y="0"/>
          <wp:positionH relativeFrom="column">
            <wp:posOffset>2748915</wp:posOffset>
          </wp:positionH>
          <wp:positionV relativeFrom="paragraph">
            <wp:posOffset>-480695</wp:posOffset>
          </wp:positionV>
          <wp:extent cx="1924050" cy="674370"/>
          <wp:effectExtent l="0" t="0" r="0" b="0"/>
          <wp:wrapSquare wrapText="bothSides"/>
          <wp:docPr id="70" name="Immagin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79" r="3714"/>
                  <a:stretch/>
                </pic:blipFill>
                <pic:spPr bwMode="auto">
                  <a:xfrm>
                    <a:off x="0" y="0"/>
                    <a:ext cx="1924050" cy="674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CH"/>
      </w:rPr>
      <w:drawing>
        <wp:anchor distT="0" distB="0" distL="114300" distR="114300" simplePos="0" relativeHeight="251664384" behindDoc="0" locked="0" layoutInCell="1" allowOverlap="1" wp14:anchorId="1D9919E4" wp14:editId="30B92134">
          <wp:simplePos x="0" y="0"/>
          <wp:positionH relativeFrom="column">
            <wp:posOffset>-462915</wp:posOffset>
          </wp:positionH>
          <wp:positionV relativeFrom="paragraph">
            <wp:posOffset>-376555</wp:posOffset>
          </wp:positionV>
          <wp:extent cx="1423035" cy="371475"/>
          <wp:effectExtent l="0" t="0" r="5715" b="9525"/>
          <wp:wrapSquare wrapText="bothSides"/>
          <wp:docPr id="71" name="Immagin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03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1FFB">
      <w:rPr>
        <w:noProof/>
        <w:lang w:eastAsia="it-CH"/>
      </w:rPr>
      <w:drawing>
        <wp:anchor distT="0" distB="0" distL="114300" distR="114300" simplePos="0" relativeHeight="251661312" behindDoc="0" locked="0" layoutInCell="1" allowOverlap="1" wp14:anchorId="738E0B93" wp14:editId="0AE161CC">
          <wp:simplePos x="0" y="0"/>
          <wp:positionH relativeFrom="column">
            <wp:posOffset>5481955</wp:posOffset>
          </wp:positionH>
          <wp:positionV relativeFrom="paragraph">
            <wp:posOffset>-337185</wp:posOffset>
          </wp:positionV>
          <wp:extent cx="1019175" cy="402590"/>
          <wp:effectExtent l="0" t="0" r="9525" b="0"/>
          <wp:wrapSquare wrapText="bothSides"/>
          <wp:docPr id="72" name="Im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D50CCF" w14:textId="01DDA99D" w:rsidR="001F3633" w:rsidRDefault="001F3633" w:rsidP="001F3633">
    <w:pPr>
      <w:pStyle w:val="Pidipagina"/>
      <w:ind w:left="-567"/>
    </w:pPr>
  </w:p>
  <w:p w14:paraId="6AFBAF69" w14:textId="36B2F94E" w:rsidR="001F3633" w:rsidRDefault="001F3633" w:rsidP="001F3633">
    <w:pPr>
      <w:pStyle w:val="Pidipagina"/>
      <w:ind w:left="-567"/>
    </w:pPr>
    <w:r>
      <w:t xml:space="preserve">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0A501" w14:textId="77777777" w:rsidR="003A3801" w:rsidRDefault="003A3801" w:rsidP="001F3633">
      <w:pPr>
        <w:spacing w:after="0" w:line="240" w:lineRule="auto"/>
      </w:pPr>
      <w:r>
        <w:separator/>
      </w:r>
    </w:p>
  </w:footnote>
  <w:footnote w:type="continuationSeparator" w:id="0">
    <w:p w14:paraId="73D4CB2F" w14:textId="77777777" w:rsidR="003A3801" w:rsidRDefault="003A3801" w:rsidP="001F3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A39F3" w14:textId="1B702297" w:rsidR="00CE1FFB" w:rsidRPr="00294AA3" w:rsidRDefault="000650F4" w:rsidP="00294AA3">
    <w:pPr>
      <w:pStyle w:val="Intestazione"/>
      <w:jc w:val="center"/>
    </w:pPr>
    <w:r>
      <w:rPr>
        <w:noProof/>
        <w:lang w:eastAsia="it-CH"/>
      </w:rPr>
      <w:drawing>
        <wp:inline distT="0" distB="0" distL="0" distR="0" wp14:anchorId="37EBB7C6" wp14:editId="7BA9D333">
          <wp:extent cx="2905125" cy="1253481"/>
          <wp:effectExtent l="0" t="0" r="0" b="4445"/>
          <wp:docPr id="67" name="Immagin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10" cy="1257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6BE"/>
    <w:rsid w:val="00056C03"/>
    <w:rsid w:val="000650F4"/>
    <w:rsid w:val="001F3633"/>
    <w:rsid w:val="002811C6"/>
    <w:rsid w:val="00294AA3"/>
    <w:rsid w:val="0036576F"/>
    <w:rsid w:val="003949F9"/>
    <w:rsid w:val="003A3801"/>
    <w:rsid w:val="003C374E"/>
    <w:rsid w:val="003E0995"/>
    <w:rsid w:val="004651A6"/>
    <w:rsid w:val="0047319A"/>
    <w:rsid w:val="00481F3D"/>
    <w:rsid w:val="004A618D"/>
    <w:rsid w:val="004C3351"/>
    <w:rsid w:val="005160FE"/>
    <w:rsid w:val="00595B8B"/>
    <w:rsid w:val="00600440"/>
    <w:rsid w:val="00664A1F"/>
    <w:rsid w:val="006C7E4F"/>
    <w:rsid w:val="006D1033"/>
    <w:rsid w:val="006D37EF"/>
    <w:rsid w:val="006F1230"/>
    <w:rsid w:val="0075470E"/>
    <w:rsid w:val="007F7C6F"/>
    <w:rsid w:val="008413A1"/>
    <w:rsid w:val="00951F39"/>
    <w:rsid w:val="00995678"/>
    <w:rsid w:val="009B66BE"/>
    <w:rsid w:val="00A61359"/>
    <w:rsid w:val="00AA174D"/>
    <w:rsid w:val="00AB07FF"/>
    <w:rsid w:val="00B616FC"/>
    <w:rsid w:val="00B65144"/>
    <w:rsid w:val="00BE0CC5"/>
    <w:rsid w:val="00BE4A7A"/>
    <w:rsid w:val="00BF2BD6"/>
    <w:rsid w:val="00CE1FFB"/>
    <w:rsid w:val="00D65EDB"/>
    <w:rsid w:val="00EE2EF5"/>
    <w:rsid w:val="00F109F8"/>
    <w:rsid w:val="00F24378"/>
    <w:rsid w:val="00F84EFF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CFCB9A"/>
  <w15:chartTrackingRefBased/>
  <w15:docId w15:val="{2EF5B259-2ED0-46E8-BBC5-7A37A6BC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66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B66BE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F3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633"/>
  </w:style>
  <w:style w:type="paragraph" w:styleId="Pidipagina">
    <w:name w:val="footer"/>
    <w:basedOn w:val="Normale"/>
    <w:link w:val="PidipaginaCarattere"/>
    <w:uiPriority w:val="99"/>
    <w:unhideWhenUsed/>
    <w:rsid w:val="001F3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5" Type="http://schemas.openxmlformats.org/officeDocument/2006/relationships/image" Target="media/image6.pn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dardani</dc:creator>
  <cp:keywords/>
  <dc:description/>
  <cp:lastModifiedBy>Bruno</cp:lastModifiedBy>
  <cp:revision>6</cp:revision>
  <dcterms:created xsi:type="dcterms:W3CDTF">2021-06-16T15:39:00Z</dcterms:created>
  <dcterms:modified xsi:type="dcterms:W3CDTF">2021-06-16T16:06:00Z</dcterms:modified>
</cp:coreProperties>
</file>