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9A17C" w14:textId="5EBE8B85" w:rsidR="003E5804" w:rsidRDefault="00666F77" w:rsidP="003E5804">
      <w:pPr>
        <w:pStyle w:val="NormaleWeb"/>
        <w:shd w:val="clear" w:color="auto" w:fill="FFFFFF"/>
        <w:jc w:val="center"/>
        <w:rPr>
          <w:rFonts w:ascii="Arial" w:hAnsi="Arial" w:cs="Arial"/>
          <w:color w:val="666666"/>
          <w:u w:val="single"/>
        </w:rPr>
      </w:pPr>
      <w:r w:rsidRPr="00666F77">
        <w:rPr>
          <w:rFonts w:ascii="Arial" w:hAnsi="Arial" w:cs="Arial"/>
          <w:color w:val="666666"/>
          <w:u w:val="single"/>
        </w:rPr>
        <w:t>Cinque milioni di occupati e 750 miliardi di euro di fatturato</w:t>
      </w:r>
    </w:p>
    <w:p w14:paraId="63F7DC1F" w14:textId="5FFD6CF6" w:rsidR="003E5804" w:rsidRDefault="00666F77" w:rsidP="003E5804">
      <w:pPr>
        <w:pStyle w:val="NormaleWeb"/>
        <w:shd w:val="clear" w:color="auto" w:fill="FFFFFF"/>
        <w:jc w:val="center"/>
        <w:rPr>
          <w:rFonts w:ascii="Arial" w:hAnsi="Arial" w:cs="Arial"/>
          <w:color w:val="666666"/>
          <w:sz w:val="40"/>
          <w:szCs w:val="40"/>
        </w:rPr>
      </w:pPr>
      <w:r w:rsidRPr="00666F77">
        <w:rPr>
          <w:rFonts w:ascii="Arial" w:hAnsi="Arial" w:cs="Arial"/>
          <w:color w:val="666666"/>
          <w:sz w:val="40"/>
          <w:szCs w:val="40"/>
        </w:rPr>
        <w:t xml:space="preserve">L’Europa riscopre la Blue </w:t>
      </w:r>
      <w:r>
        <w:rPr>
          <w:rFonts w:ascii="Arial" w:hAnsi="Arial" w:cs="Arial"/>
          <w:color w:val="666666"/>
          <w:sz w:val="40"/>
          <w:szCs w:val="40"/>
        </w:rPr>
        <w:t>E</w:t>
      </w:r>
      <w:r w:rsidRPr="00666F77">
        <w:rPr>
          <w:rFonts w:ascii="Arial" w:hAnsi="Arial" w:cs="Arial"/>
          <w:color w:val="666666"/>
          <w:sz w:val="40"/>
          <w:szCs w:val="40"/>
        </w:rPr>
        <w:t>conomy</w:t>
      </w:r>
    </w:p>
    <w:p w14:paraId="6D39CDEB" w14:textId="275FAEC9" w:rsidR="00666F77" w:rsidRDefault="00666F77" w:rsidP="003E5804">
      <w:pPr>
        <w:pStyle w:val="NormaleWeb"/>
        <w:shd w:val="clear" w:color="auto" w:fill="FFFFFF"/>
        <w:jc w:val="center"/>
        <w:rPr>
          <w:rFonts w:ascii="Arial" w:hAnsi="Arial" w:cs="Arial"/>
          <w:color w:val="666666"/>
          <w:szCs w:val="28"/>
          <w:lang w:val="it-IT"/>
        </w:rPr>
      </w:pPr>
      <w:r w:rsidRPr="00666F77">
        <w:rPr>
          <w:rFonts w:ascii="Arial" w:hAnsi="Arial" w:cs="Arial"/>
          <w:color w:val="666666"/>
          <w:szCs w:val="28"/>
          <w:lang w:val="it-IT"/>
        </w:rPr>
        <w:t>Pubblicato il rapporto “al ribasso” per il 2020 della Commissione Ue sull’intero comparto Blue…</w:t>
      </w:r>
      <w:r w:rsidR="009211B7">
        <w:rPr>
          <w:rFonts w:ascii="Arial" w:hAnsi="Arial" w:cs="Arial"/>
          <w:color w:val="666666"/>
          <w:szCs w:val="28"/>
          <w:lang w:val="it-IT"/>
        </w:rPr>
        <w:t xml:space="preserve"> </w:t>
      </w:r>
      <w:r w:rsidRPr="00666F77">
        <w:rPr>
          <w:rFonts w:ascii="Arial" w:hAnsi="Arial" w:cs="Arial"/>
          <w:color w:val="666666"/>
          <w:szCs w:val="28"/>
          <w:lang w:val="it-IT"/>
        </w:rPr>
        <w:t xml:space="preserve">con alcune dimenticanze – Secondo Giulio </w:t>
      </w:r>
      <w:proofErr w:type="spellStart"/>
      <w:r w:rsidRPr="00666F77">
        <w:rPr>
          <w:rFonts w:ascii="Arial" w:hAnsi="Arial" w:cs="Arial"/>
          <w:color w:val="666666"/>
          <w:szCs w:val="28"/>
          <w:lang w:val="it-IT"/>
        </w:rPr>
        <w:t>Sapelli</w:t>
      </w:r>
      <w:proofErr w:type="spellEnd"/>
      <w:r w:rsidRPr="00666F77">
        <w:rPr>
          <w:rFonts w:ascii="Arial" w:hAnsi="Arial" w:cs="Arial"/>
          <w:color w:val="666666"/>
          <w:szCs w:val="28"/>
          <w:lang w:val="it-IT"/>
        </w:rPr>
        <w:t xml:space="preserve">, Presidente di </w:t>
      </w:r>
      <w:proofErr w:type="spellStart"/>
      <w:r w:rsidRPr="00666F77">
        <w:rPr>
          <w:rFonts w:ascii="Arial" w:hAnsi="Arial" w:cs="Arial"/>
          <w:color w:val="666666"/>
          <w:szCs w:val="28"/>
          <w:lang w:val="it-IT"/>
        </w:rPr>
        <w:t>BlueMonitorLab</w:t>
      </w:r>
      <w:proofErr w:type="spellEnd"/>
      <w:r w:rsidRPr="00666F77">
        <w:rPr>
          <w:rFonts w:ascii="Arial" w:hAnsi="Arial" w:cs="Arial"/>
          <w:color w:val="666666"/>
          <w:szCs w:val="28"/>
          <w:lang w:val="it-IT"/>
        </w:rPr>
        <w:t xml:space="preserve"> “sottostimati i dati su cantieristica, turismo blue, attività della difesa in Mediterraneo e nautica da diporto”</w:t>
      </w:r>
    </w:p>
    <w:p w14:paraId="218B6CA2" w14:textId="77777777" w:rsidR="00666F77" w:rsidRPr="00666F77" w:rsidRDefault="00666F77" w:rsidP="003E5804">
      <w:pPr>
        <w:pStyle w:val="NormaleWeb"/>
        <w:shd w:val="clear" w:color="auto" w:fill="FFFFFF"/>
        <w:jc w:val="center"/>
        <w:rPr>
          <w:rFonts w:ascii="Arial" w:hAnsi="Arial" w:cs="Arial"/>
          <w:color w:val="666666"/>
          <w:szCs w:val="28"/>
          <w:lang w:val="it-IT"/>
        </w:rPr>
      </w:pPr>
    </w:p>
    <w:p w14:paraId="23BA51E1" w14:textId="1CC11CF4" w:rsidR="00666F77" w:rsidRPr="00666F77" w:rsidRDefault="00666F77" w:rsidP="00666F77">
      <w:pPr>
        <w:pStyle w:val="NormaleWeb"/>
        <w:shd w:val="clear" w:color="auto" w:fill="FFFFFF"/>
        <w:jc w:val="both"/>
        <w:rPr>
          <w:rFonts w:ascii="Arial" w:hAnsi="Arial" w:cs="Arial"/>
          <w:color w:val="666666"/>
          <w:sz w:val="20"/>
          <w:szCs w:val="20"/>
        </w:rPr>
      </w:pPr>
      <w:r w:rsidRPr="00666F77">
        <w:rPr>
          <w:rFonts w:ascii="Arial" w:hAnsi="Arial" w:cs="Arial"/>
          <w:color w:val="666666"/>
          <w:sz w:val="20"/>
          <w:szCs w:val="20"/>
        </w:rPr>
        <w:t xml:space="preserve">La Blue </w:t>
      </w:r>
      <w:r w:rsidR="00413A35">
        <w:rPr>
          <w:rFonts w:ascii="Arial" w:hAnsi="Arial" w:cs="Arial"/>
          <w:color w:val="666666"/>
          <w:sz w:val="20"/>
          <w:szCs w:val="20"/>
        </w:rPr>
        <w:t>E</w:t>
      </w:r>
      <w:r w:rsidRPr="00666F77">
        <w:rPr>
          <w:rFonts w:ascii="Arial" w:hAnsi="Arial" w:cs="Arial"/>
          <w:color w:val="666666"/>
          <w:sz w:val="20"/>
          <w:szCs w:val="20"/>
        </w:rPr>
        <w:t>conomy, nonostante una cronica sottovalutazione del suo impatto in settori come quello del turismo (5 milioni di occupati complessivi secondo la Ue, 2,2 milioni di addetti secondo le più recenti rilevazioni in Italia a fronte di un peso occupazionale del turismo superiore ai 3,5 milioni) e quello dell’industria cantieristica</w:t>
      </w:r>
      <w:r w:rsidR="009211B7">
        <w:rPr>
          <w:rFonts w:ascii="Arial" w:hAnsi="Arial" w:cs="Arial"/>
          <w:color w:val="666666"/>
          <w:sz w:val="20"/>
          <w:szCs w:val="20"/>
        </w:rPr>
        <w:t>,</w:t>
      </w:r>
      <w:r w:rsidRPr="00666F77">
        <w:rPr>
          <w:rFonts w:ascii="Arial" w:hAnsi="Arial" w:cs="Arial"/>
          <w:color w:val="666666"/>
          <w:sz w:val="20"/>
          <w:szCs w:val="20"/>
        </w:rPr>
        <w:t xml:space="preserve"> il cui fatturato è palesemente sottostimato, si conferma uno dei pilastri sui quali i Paesi dell’Unione europea sono chiamati a costruire il loro futuro.</w:t>
      </w:r>
    </w:p>
    <w:p w14:paraId="3DE3F7E9" w14:textId="30AFF6D1" w:rsidR="00666F77" w:rsidRPr="00666F77" w:rsidRDefault="00666F77" w:rsidP="00666F77">
      <w:pPr>
        <w:pStyle w:val="NormaleWeb"/>
        <w:shd w:val="clear" w:color="auto" w:fill="FFFFFF"/>
        <w:jc w:val="both"/>
        <w:rPr>
          <w:rFonts w:ascii="Arial" w:hAnsi="Arial" w:cs="Arial"/>
          <w:color w:val="666666"/>
          <w:sz w:val="20"/>
          <w:szCs w:val="20"/>
        </w:rPr>
      </w:pPr>
      <w:r w:rsidRPr="00666F77">
        <w:rPr>
          <w:rFonts w:ascii="Arial" w:hAnsi="Arial" w:cs="Arial"/>
          <w:color w:val="666666"/>
          <w:sz w:val="20"/>
          <w:szCs w:val="20"/>
        </w:rPr>
        <w:t xml:space="preserve">Secondo il rapporto della Commissione Ue diffuso in queste ore, l’economia del mare (o quantomeno quella parte di economia del mare che l’Unione riconduce al comune denominatore Blue) assomma un fatturato superiore ai 750 miliardi di euro, con un </w:t>
      </w:r>
      <w:proofErr w:type="spellStart"/>
      <w:r w:rsidR="009211B7">
        <w:rPr>
          <w:rFonts w:ascii="Arial" w:hAnsi="Arial" w:cs="Arial"/>
          <w:color w:val="666666"/>
          <w:sz w:val="20"/>
          <w:szCs w:val="20"/>
        </w:rPr>
        <w:t>G</w:t>
      </w:r>
      <w:r w:rsidRPr="00666F77">
        <w:rPr>
          <w:rFonts w:ascii="Arial" w:hAnsi="Arial" w:cs="Arial"/>
          <w:color w:val="666666"/>
          <w:sz w:val="20"/>
          <w:szCs w:val="20"/>
        </w:rPr>
        <w:t>ross</w:t>
      </w:r>
      <w:proofErr w:type="spellEnd"/>
      <w:r w:rsidRPr="00666F77">
        <w:rPr>
          <w:rFonts w:ascii="Arial" w:hAnsi="Arial" w:cs="Arial"/>
          <w:color w:val="666666"/>
          <w:sz w:val="20"/>
          <w:szCs w:val="20"/>
        </w:rPr>
        <w:t xml:space="preserve"> </w:t>
      </w:r>
      <w:r w:rsidR="009211B7">
        <w:rPr>
          <w:rFonts w:ascii="Arial" w:hAnsi="Arial" w:cs="Arial"/>
          <w:color w:val="666666"/>
          <w:sz w:val="20"/>
          <w:szCs w:val="20"/>
        </w:rPr>
        <w:t>V</w:t>
      </w:r>
      <w:r w:rsidRPr="00666F77">
        <w:rPr>
          <w:rFonts w:ascii="Arial" w:hAnsi="Arial" w:cs="Arial"/>
          <w:color w:val="666666"/>
          <w:sz w:val="20"/>
          <w:szCs w:val="20"/>
        </w:rPr>
        <w:t xml:space="preserve">alue </w:t>
      </w:r>
      <w:proofErr w:type="spellStart"/>
      <w:r w:rsidR="009211B7">
        <w:rPr>
          <w:rFonts w:ascii="Arial" w:hAnsi="Arial" w:cs="Arial"/>
          <w:color w:val="666666"/>
          <w:sz w:val="20"/>
          <w:szCs w:val="20"/>
        </w:rPr>
        <w:t>A</w:t>
      </w:r>
      <w:r w:rsidRPr="00666F77">
        <w:rPr>
          <w:rFonts w:ascii="Arial" w:hAnsi="Arial" w:cs="Arial"/>
          <w:color w:val="666666"/>
          <w:sz w:val="20"/>
          <w:szCs w:val="20"/>
        </w:rPr>
        <w:t>dded</w:t>
      </w:r>
      <w:proofErr w:type="spellEnd"/>
      <w:r w:rsidRPr="00666F77">
        <w:rPr>
          <w:rFonts w:ascii="Arial" w:hAnsi="Arial" w:cs="Arial"/>
          <w:color w:val="666666"/>
          <w:sz w:val="20"/>
          <w:szCs w:val="20"/>
        </w:rPr>
        <w:t xml:space="preserve"> (GVA) di 218 miliardi e utili per 94 mili</w:t>
      </w:r>
      <w:r w:rsidR="006E0CFB">
        <w:rPr>
          <w:rFonts w:ascii="Arial" w:hAnsi="Arial" w:cs="Arial"/>
          <w:color w:val="666666"/>
          <w:sz w:val="20"/>
          <w:szCs w:val="20"/>
        </w:rPr>
        <w:t>a</w:t>
      </w:r>
      <w:r w:rsidRPr="00666F77">
        <w:rPr>
          <w:rFonts w:ascii="Arial" w:hAnsi="Arial" w:cs="Arial"/>
          <w:color w:val="666666"/>
          <w:sz w:val="20"/>
          <w:szCs w:val="20"/>
        </w:rPr>
        <w:t>rdi. Cinque milioni gli occupati regolarmente registrati con contratti di lavoro con una crescita di oltre il 15% nel decennio 2009 – 2018.</w:t>
      </w:r>
    </w:p>
    <w:p w14:paraId="6DAA70F2" w14:textId="321F25E7" w:rsidR="00666F77" w:rsidRPr="00666F77" w:rsidRDefault="00666F77" w:rsidP="00666F77">
      <w:pPr>
        <w:pStyle w:val="NormaleWeb"/>
        <w:shd w:val="clear" w:color="auto" w:fill="FFFFFF"/>
        <w:jc w:val="both"/>
        <w:rPr>
          <w:rFonts w:ascii="Arial" w:hAnsi="Arial" w:cs="Arial"/>
          <w:color w:val="666666"/>
          <w:sz w:val="20"/>
          <w:szCs w:val="20"/>
        </w:rPr>
      </w:pPr>
      <w:r w:rsidRPr="00666F77">
        <w:rPr>
          <w:rFonts w:ascii="Arial" w:hAnsi="Arial" w:cs="Arial"/>
          <w:color w:val="666666"/>
          <w:sz w:val="20"/>
          <w:szCs w:val="20"/>
        </w:rPr>
        <w:t xml:space="preserve">Il 58% della Blue </w:t>
      </w:r>
      <w:r w:rsidR="00413A35">
        <w:rPr>
          <w:rFonts w:ascii="Arial" w:hAnsi="Arial" w:cs="Arial"/>
          <w:color w:val="666666"/>
          <w:sz w:val="20"/>
          <w:szCs w:val="20"/>
        </w:rPr>
        <w:t>E</w:t>
      </w:r>
      <w:r w:rsidRPr="00666F77">
        <w:rPr>
          <w:rFonts w:ascii="Arial" w:hAnsi="Arial" w:cs="Arial"/>
          <w:color w:val="666666"/>
          <w:sz w:val="20"/>
          <w:szCs w:val="20"/>
        </w:rPr>
        <w:t>conomy è controllato in Europa da Spagna, Germania, Italia e Francia, ma a segnare tassi di crescita superiori al 50% negli ultimi dieci anni sono Irlanda, Portogallo e Malta seguiti a ruota (con incrementi di GVA superiori al 30%) da Belgio, Polonia e Svezia.</w:t>
      </w:r>
    </w:p>
    <w:p w14:paraId="3EBBE2CF" w14:textId="0BA2DF03" w:rsidR="00666F77" w:rsidRPr="00666F77" w:rsidRDefault="00666F77" w:rsidP="00666F77">
      <w:pPr>
        <w:pStyle w:val="NormaleWeb"/>
        <w:shd w:val="clear" w:color="auto" w:fill="FFFFFF"/>
        <w:jc w:val="both"/>
        <w:rPr>
          <w:rFonts w:ascii="Arial" w:hAnsi="Arial" w:cs="Arial"/>
          <w:color w:val="666666"/>
          <w:sz w:val="20"/>
          <w:szCs w:val="20"/>
        </w:rPr>
      </w:pPr>
      <w:r w:rsidRPr="00666F77">
        <w:rPr>
          <w:rFonts w:ascii="Arial" w:hAnsi="Arial" w:cs="Arial"/>
          <w:color w:val="666666"/>
          <w:sz w:val="20"/>
          <w:szCs w:val="20"/>
        </w:rPr>
        <w:t xml:space="preserve">Anche il rapporto 2020, che si riferisce ai dati di sintesi del 2018, “soffre – sottolinea Giulio </w:t>
      </w:r>
      <w:proofErr w:type="spellStart"/>
      <w:r w:rsidRPr="00666F77">
        <w:rPr>
          <w:rFonts w:ascii="Arial" w:hAnsi="Arial" w:cs="Arial"/>
          <w:color w:val="666666"/>
          <w:sz w:val="20"/>
          <w:szCs w:val="20"/>
        </w:rPr>
        <w:t>Sapelli</w:t>
      </w:r>
      <w:proofErr w:type="spellEnd"/>
      <w:r w:rsidRPr="00666F77">
        <w:rPr>
          <w:rFonts w:ascii="Arial" w:hAnsi="Arial" w:cs="Arial"/>
          <w:color w:val="666666"/>
          <w:sz w:val="20"/>
          <w:szCs w:val="20"/>
        </w:rPr>
        <w:t xml:space="preserve">, Presidente di </w:t>
      </w:r>
      <w:proofErr w:type="spellStart"/>
      <w:r w:rsidRPr="00666F77">
        <w:rPr>
          <w:rFonts w:ascii="Arial" w:hAnsi="Arial" w:cs="Arial"/>
          <w:color w:val="666666"/>
          <w:sz w:val="20"/>
          <w:szCs w:val="20"/>
        </w:rPr>
        <w:t>BlueMonitorLab</w:t>
      </w:r>
      <w:proofErr w:type="spellEnd"/>
      <w:r w:rsidRPr="00666F77">
        <w:rPr>
          <w:rFonts w:ascii="Arial" w:hAnsi="Arial" w:cs="Arial"/>
          <w:color w:val="666666"/>
          <w:sz w:val="20"/>
          <w:szCs w:val="20"/>
        </w:rPr>
        <w:t xml:space="preserve">, il centro studi italiano sulla Blue </w:t>
      </w:r>
      <w:r w:rsidR="00413A35">
        <w:rPr>
          <w:rFonts w:ascii="Arial" w:hAnsi="Arial" w:cs="Arial"/>
          <w:color w:val="666666"/>
          <w:sz w:val="20"/>
          <w:szCs w:val="20"/>
        </w:rPr>
        <w:t>E</w:t>
      </w:r>
      <w:r w:rsidR="009211B7">
        <w:rPr>
          <w:rFonts w:ascii="Arial" w:hAnsi="Arial" w:cs="Arial"/>
          <w:color w:val="666666"/>
          <w:sz w:val="20"/>
          <w:szCs w:val="20"/>
        </w:rPr>
        <w:t>conomy - di un’</w:t>
      </w:r>
      <w:r w:rsidRPr="00666F77">
        <w:rPr>
          <w:rFonts w:ascii="Arial" w:hAnsi="Arial" w:cs="Arial"/>
          <w:color w:val="666666"/>
          <w:sz w:val="20"/>
          <w:szCs w:val="20"/>
        </w:rPr>
        <w:t>ormai cronica sottovalutazione e dell’esclusione di intere filiere di economia blue dal computo complessivo an</w:t>
      </w:r>
      <w:r w:rsidR="00413A35">
        <w:rPr>
          <w:rFonts w:ascii="Arial" w:hAnsi="Arial" w:cs="Arial"/>
          <w:color w:val="666666"/>
          <w:sz w:val="20"/>
          <w:szCs w:val="20"/>
        </w:rPr>
        <w:t>che relativo all’impatto sul PIL</w:t>
      </w:r>
      <w:r w:rsidRPr="00666F77">
        <w:rPr>
          <w:rFonts w:ascii="Arial" w:hAnsi="Arial" w:cs="Arial"/>
          <w:color w:val="666666"/>
          <w:sz w:val="20"/>
          <w:szCs w:val="20"/>
        </w:rPr>
        <w:t xml:space="preserve">”.  La sottovalutazione riguarda i porti e il loro impatto diretto e indiretto sulle economie nazionali e su quella continentale, l’estesa fascia di turismo marittimo non riconducibile alla pura attività alberghiera, i cantieri (nel computo di fatturato che è relativo al periodo </w:t>
      </w:r>
      <w:proofErr w:type="spellStart"/>
      <w:r w:rsidRPr="00666F77">
        <w:rPr>
          <w:rFonts w:ascii="Arial" w:hAnsi="Arial" w:cs="Arial"/>
          <w:color w:val="666666"/>
          <w:sz w:val="20"/>
          <w:szCs w:val="20"/>
        </w:rPr>
        <w:t>pre-Covid</w:t>
      </w:r>
      <w:proofErr w:type="spellEnd"/>
      <w:r w:rsidRPr="00666F77">
        <w:rPr>
          <w:rFonts w:ascii="Arial" w:hAnsi="Arial" w:cs="Arial"/>
          <w:color w:val="666666"/>
          <w:sz w:val="20"/>
          <w:szCs w:val="20"/>
        </w:rPr>
        <w:t>, l’impatto degli ordini per nuove navi da crociera è considerato in percentuale minima). Sono poi ignorate attività indotte, anche nel settore logistico, degli approvvigionamenti, della ricerca, della difesa dell’ambiente che sono proposti nel rapporto Ue più come enunciazioni che come effettivi driver di fatturato e occupazione.</w:t>
      </w:r>
    </w:p>
    <w:p w14:paraId="48F8F272" w14:textId="7BE12CCB" w:rsidR="00666F77" w:rsidRPr="00666F77" w:rsidRDefault="00666F77" w:rsidP="00666F77">
      <w:pPr>
        <w:pStyle w:val="NormaleWeb"/>
        <w:shd w:val="clear" w:color="auto" w:fill="FFFFFF"/>
        <w:jc w:val="both"/>
        <w:rPr>
          <w:rFonts w:ascii="Arial" w:hAnsi="Arial" w:cs="Arial"/>
          <w:color w:val="666666"/>
          <w:sz w:val="20"/>
          <w:szCs w:val="20"/>
        </w:rPr>
      </w:pPr>
      <w:r w:rsidRPr="00666F77">
        <w:rPr>
          <w:rFonts w:ascii="Arial" w:hAnsi="Arial" w:cs="Arial"/>
          <w:color w:val="666666"/>
          <w:sz w:val="20"/>
          <w:szCs w:val="20"/>
        </w:rPr>
        <w:t xml:space="preserve">“Il focus del rapporto su nuovi settori di attività – ribadisce </w:t>
      </w:r>
      <w:proofErr w:type="spellStart"/>
      <w:r w:rsidRPr="00666F77">
        <w:rPr>
          <w:rFonts w:ascii="Arial" w:hAnsi="Arial" w:cs="Arial"/>
          <w:color w:val="666666"/>
          <w:sz w:val="20"/>
          <w:szCs w:val="20"/>
        </w:rPr>
        <w:t>BlueMonitorLab</w:t>
      </w:r>
      <w:proofErr w:type="spellEnd"/>
      <w:r w:rsidRPr="00666F77">
        <w:rPr>
          <w:rFonts w:ascii="Arial" w:hAnsi="Arial" w:cs="Arial"/>
          <w:color w:val="666666"/>
          <w:sz w:val="20"/>
          <w:szCs w:val="20"/>
        </w:rPr>
        <w:t xml:space="preserve"> </w:t>
      </w:r>
      <w:r w:rsidR="00413A35" w:rsidRPr="00666F77">
        <w:rPr>
          <w:rFonts w:ascii="Arial" w:hAnsi="Arial" w:cs="Arial"/>
          <w:color w:val="666666"/>
          <w:sz w:val="20"/>
          <w:szCs w:val="20"/>
        </w:rPr>
        <w:t>–</w:t>
      </w:r>
      <w:r w:rsidRPr="00666F77">
        <w:rPr>
          <w:rFonts w:ascii="Arial" w:hAnsi="Arial" w:cs="Arial"/>
          <w:color w:val="666666"/>
          <w:sz w:val="20"/>
          <w:szCs w:val="20"/>
        </w:rPr>
        <w:t xml:space="preserve"> e sulla loro crescita conferma l’impressione di un comparto complessivamente immaturo, che presenta (e in ci</w:t>
      </w:r>
      <w:r w:rsidR="006E0CFB">
        <w:rPr>
          <w:rFonts w:ascii="Arial" w:hAnsi="Arial" w:cs="Arial"/>
          <w:color w:val="666666"/>
          <w:sz w:val="20"/>
          <w:szCs w:val="20"/>
        </w:rPr>
        <w:t>ò</w:t>
      </w:r>
      <w:r w:rsidRPr="00666F77">
        <w:rPr>
          <w:rFonts w:ascii="Arial" w:hAnsi="Arial" w:cs="Arial"/>
          <w:color w:val="666666"/>
          <w:sz w:val="20"/>
          <w:szCs w:val="20"/>
        </w:rPr>
        <w:t xml:space="preserve"> si giustifica anche l’impegno della Banca Eur</w:t>
      </w:r>
      <w:r w:rsidR="006E0CFB">
        <w:rPr>
          <w:rFonts w:ascii="Arial" w:hAnsi="Arial" w:cs="Arial"/>
          <w:color w:val="666666"/>
          <w:sz w:val="20"/>
          <w:szCs w:val="20"/>
        </w:rPr>
        <w:t>opea per gli investimenti nella</w:t>
      </w:r>
      <w:r w:rsidRPr="00666F77">
        <w:rPr>
          <w:rFonts w:ascii="Arial" w:hAnsi="Arial" w:cs="Arial"/>
          <w:color w:val="666666"/>
          <w:sz w:val="20"/>
          <w:szCs w:val="20"/>
        </w:rPr>
        <w:t xml:space="preserve"> </w:t>
      </w:r>
      <w:proofErr w:type="spellStart"/>
      <w:r w:rsidRPr="00666F77">
        <w:rPr>
          <w:rFonts w:ascii="Arial" w:hAnsi="Arial" w:cs="Arial"/>
          <w:color w:val="666666"/>
          <w:sz w:val="20"/>
          <w:szCs w:val="20"/>
        </w:rPr>
        <w:t>Blueinvest</w:t>
      </w:r>
      <w:proofErr w:type="spellEnd"/>
      <w:r w:rsidRPr="00666F77">
        <w:rPr>
          <w:rFonts w:ascii="Arial" w:hAnsi="Arial" w:cs="Arial"/>
          <w:color w:val="666666"/>
          <w:sz w:val="20"/>
          <w:szCs w:val="20"/>
        </w:rPr>
        <w:t xml:space="preserve"> Platform) enormi potenzialità di sviluppo”. Su queste attività il rapporto transita…</w:t>
      </w:r>
      <w:r w:rsidR="00B86540">
        <w:rPr>
          <w:rFonts w:ascii="Arial" w:hAnsi="Arial" w:cs="Arial"/>
          <w:color w:val="666666"/>
          <w:sz w:val="20"/>
          <w:szCs w:val="20"/>
        </w:rPr>
        <w:t xml:space="preserve"> </w:t>
      </w:r>
      <w:r w:rsidRPr="00666F77">
        <w:rPr>
          <w:rFonts w:ascii="Arial" w:hAnsi="Arial" w:cs="Arial"/>
          <w:color w:val="666666"/>
          <w:sz w:val="20"/>
          <w:szCs w:val="20"/>
        </w:rPr>
        <w:t xml:space="preserve">a volo d’uccello, comprendendo fra le nuove attività, quelle relative alla difesa (177.000 occupati in un settore destinato secondo tutti gli studi di geopolitica </w:t>
      </w:r>
      <w:r w:rsidR="009211B7">
        <w:rPr>
          <w:rFonts w:ascii="Arial" w:hAnsi="Arial" w:cs="Arial"/>
          <w:color w:val="666666"/>
          <w:sz w:val="20"/>
          <w:szCs w:val="20"/>
        </w:rPr>
        <w:t>a posizionarsi</w:t>
      </w:r>
      <w:r w:rsidRPr="00666F77">
        <w:rPr>
          <w:rFonts w:ascii="Arial" w:hAnsi="Arial" w:cs="Arial"/>
          <w:color w:val="666666"/>
          <w:sz w:val="20"/>
          <w:szCs w:val="20"/>
        </w:rPr>
        <w:t xml:space="preserve"> negli anni a venire </w:t>
      </w:r>
      <w:r w:rsidR="009211B7">
        <w:rPr>
          <w:rFonts w:ascii="Arial" w:hAnsi="Arial" w:cs="Arial"/>
          <w:color w:val="666666"/>
          <w:sz w:val="20"/>
          <w:szCs w:val="20"/>
        </w:rPr>
        <w:t xml:space="preserve">su </w:t>
      </w:r>
      <w:r w:rsidRPr="00666F77">
        <w:rPr>
          <w:rFonts w:ascii="Arial" w:hAnsi="Arial" w:cs="Arial"/>
          <w:color w:val="666666"/>
          <w:sz w:val="20"/>
          <w:szCs w:val="20"/>
        </w:rPr>
        <w:t>una vera e propria linea del fronte sia commerciale</w:t>
      </w:r>
      <w:r w:rsidR="009211B7">
        <w:rPr>
          <w:rFonts w:ascii="Arial" w:hAnsi="Arial" w:cs="Arial"/>
          <w:color w:val="666666"/>
          <w:sz w:val="20"/>
          <w:szCs w:val="20"/>
        </w:rPr>
        <w:t>, relativa al confronto</w:t>
      </w:r>
      <w:r w:rsidRPr="00666F77">
        <w:rPr>
          <w:rFonts w:ascii="Arial" w:hAnsi="Arial" w:cs="Arial"/>
          <w:color w:val="666666"/>
          <w:sz w:val="20"/>
          <w:szCs w:val="20"/>
        </w:rPr>
        <w:t xml:space="preserve"> Usa-Cina, sia militare, </w:t>
      </w:r>
      <w:r w:rsidR="009211B7">
        <w:rPr>
          <w:rFonts w:ascii="Arial" w:hAnsi="Arial" w:cs="Arial"/>
          <w:color w:val="666666"/>
          <w:sz w:val="20"/>
          <w:szCs w:val="20"/>
        </w:rPr>
        <w:t xml:space="preserve">e per quanto concerne fenomeni </w:t>
      </w:r>
      <w:r w:rsidRPr="00666F77">
        <w:rPr>
          <w:rFonts w:ascii="Arial" w:hAnsi="Arial" w:cs="Arial"/>
          <w:color w:val="666666"/>
          <w:sz w:val="20"/>
          <w:szCs w:val="20"/>
        </w:rPr>
        <w:t xml:space="preserve">come l’immigrazione clandestina e il traffico di esseri umani); oppure quelle relative all’energia prodotta dal mare e in mare (420 milioni di fatturato) o i </w:t>
      </w:r>
      <w:proofErr w:type="spellStart"/>
      <w:r w:rsidRPr="00666F77">
        <w:rPr>
          <w:rFonts w:ascii="Arial" w:hAnsi="Arial" w:cs="Arial"/>
          <w:color w:val="666666"/>
          <w:sz w:val="20"/>
          <w:szCs w:val="20"/>
        </w:rPr>
        <w:t>desalinizzatori</w:t>
      </w:r>
      <w:proofErr w:type="spellEnd"/>
      <w:r w:rsidRPr="00666F77">
        <w:rPr>
          <w:rFonts w:ascii="Arial" w:hAnsi="Arial" w:cs="Arial"/>
          <w:color w:val="666666"/>
          <w:sz w:val="20"/>
          <w:szCs w:val="20"/>
        </w:rPr>
        <w:t xml:space="preserve"> (contratti in essere per 520 milioni di Euro)</w:t>
      </w:r>
      <w:r w:rsidR="009211B7">
        <w:rPr>
          <w:rFonts w:ascii="Arial" w:hAnsi="Arial" w:cs="Arial"/>
          <w:color w:val="666666"/>
          <w:sz w:val="20"/>
          <w:szCs w:val="20"/>
        </w:rPr>
        <w:t>.</w:t>
      </w:r>
    </w:p>
    <w:p w14:paraId="1179D1B0" w14:textId="01DA8DF7" w:rsidR="00666F77" w:rsidRPr="00666F77" w:rsidRDefault="00666F77" w:rsidP="00666F77">
      <w:pPr>
        <w:pStyle w:val="NormaleWeb"/>
        <w:shd w:val="clear" w:color="auto" w:fill="FFFFFF"/>
        <w:jc w:val="both"/>
        <w:rPr>
          <w:rFonts w:ascii="Arial" w:hAnsi="Arial" w:cs="Arial"/>
          <w:color w:val="666666"/>
          <w:sz w:val="20"/>
          <w:szCs w:val="20"/>
        </w:rPr>
      </w:pPr>
      <w:r w:rsidRPr="00666F77">
        <w:rPr>
          <w:rFonts w:ascii="Arial" w:hAnsi="Arial" w:cs="Arial"/>
          <w:color w:val="666666"/>
          <w:sz w:val="20"/>
          <w:szCs w:val="20"/>
        </w:rPr>
        <w:t xml:space="preserve">Ancora una volta il Rapporto della Commissione appare come un canovaccio utile, ma ancora, da scrivere per completare caselle vuote o decisamente ignorate specie quelle relative alle connessioni fra </w:t>
      </w:r>
      <w:r w:rsidR="00B86540">
        <w:rPr>
          <w:rFonts w:ascii="Arial" w:hAnsi="Arial" w:cs="Arial"/>
          <w:color w:val="666666"/>
          <w:sz w:val="20"/>
          <w:szCs w:val="20"/>
        </w:rPr>
        <w:t>B</w:t>
      </w:r>
      <w:r w:rsidRPr="00666F77">
        <w:rPr>
          <w:rFonts w:ascii="Arial" w:hAnsi="Arial" w:cs="Arial"/>
          <w:color w:val="666666"/>
          <w:sz w:val="20"/>
          <w:szCs w:val="20"/>
        </w:rPr>
        <w:t xml:space="preserve">lue </w:t>
      </w:r>
      <w:r w:rsidR="00B86540">
        <w:rPr>
          <w:rFonts w:ascii="Arial" w:hAnsi="Arial" w:cs="Arial"/>
          <w:color w:val="666666"/>
          <w:sz w:val="20"/>
          <w:szCs w:val="20"/>
        </w:rPr>
        <w:t>E</w:t>
      </w:r>
      <w:r w:rsidRPr="00666F77">
        <w:rPr>
          <w:rFonts w:ascii="Arial" w:hAnsi="Arial" w:cs="Arial"/>
          <w:color w:val="666666"/>
          <w:sz w:val="20"/>
          <w:szCs w:val="20"/>
        </w:rPr>
        <w:t>conomy e il sistema economico e produttivo complessivo dei pa</w:t>
      </w:r>
      <w:r w:rsidR="00B86540">
        <w:rPr>
          <w:rFonts w:ascii="Arial" w:hAnsi="Arial" w:cs="Arial"/>
          <w:color w:val="666666"/>
          <w:sz w:val="20"/>
          <w:szCs w:val="20"/>
        </w:rPr>
        <w:t>esi europei. Basti pensare all’</w:t>
      </w:r>
      <w:r w:rsidRPr="00666F77">
        <w:rPr>
          <w:rFonts w:ascii="Arial" w:hAnsi="Arial" w:cs="Arial"/>
          <w:color w:val="666666"/>
          <w:sz w:val="20"/>
          <w:szCs w:val="20"/>
        </w:rPr>
        <w:t xml:space="preserve">assoluta sottovalutazione delle tematiche relative alla </w:t>
      </w:r>
      <w:r w:rsidRPr="00666F77">
        <w:rPr>
          <w:rFonts w:ascii="Arial" w:hAnsi="Arial" w:cs="Arial"/>
          <w:color w:val="666666"/>
          <w:sz w:val="20"/>
          <w:szCs w:val="20"/>
        </w:rPr>
        <w:lastRenderedPageBreak/>
        <w:t xml:space="preserve">portualità turistica e al nautica da diporto, al tema delle difesa delle coste, della protezione dall’inquinamento, o dell’high </w:t>
      </w:r>
      <w:proofErr w:type="spellStart"/>
      <w:r w:rsidRPr="00666F77">
        <w:rPr>
          <w:rFonts w:ascii="Arial" w:hAnsi="Arial" w:cs="Arial"/>
          <w:color w:val="666666"/>
          <w:sz w:val="20"/>
          <w:szCs w:val="20"/>
        </w:rPr>
        <w:t>tech</w:t>
      </w:r>
      <w:proofErr w:type="spellEnd"/>
      <w:r w:rsidRPr="00666F77">
        <w:rPr>
          <w:rFonts w:ascii="Arial" w:hAnsi="Arial" w:cs="Arial"/>
          <w:color w:val="666666"/>
          <w:sz w:val="20"/>
          <w:szCs w:val="20"/>
        </w:rPr>
        <w:t xml:space="preserve"> applicata alla Blue Economy, anche attraverso un sistema in forte sviluppo di start up.</w:t>
      </w:r>
    </w:p>
    <w:p w14:paraId="3B47F1D0" w14:textId="60D47DD9" w:rsidR="003E5804" w:rsidRPr="00666F77" w:rsidRDefault="00666F77" w:rsidP="00666F77">
      <w:pPr>
        <w:pStyle w:val="NormaleWeb"/>
        <w:shd w:val="clear" w:color="auto" w:fill="FFFFFF"/>
        <w:jc w:val="both"/>
        <w:rPr>
          <w:rFonts w:ascii="Arial" w:hAnsi="Arial" w:cs="Arial"/>
          <w:color w:val="666666"/>
          <w:sz w:val="20"/>
          <w:szCs w:val="20"/>
          <w:lang w:val="it-IT"/>
        </w:rPr>
      </w:pPr>
      <w:r w:rsidRPr="00666F77">
        <w:rPr>
          <w:rFonts w:ascii="Arial" w:hAnsi="Arial" w:cs="Arial"/>
          <w:color w:val="666666"/>
          <w:sz w:val="20"/>
          <w:szCs w:val="20"/>
        </w:rPr>
        <w:t xml:space="preserve">Nel rapporto è anche contenuto un allarme ambientalista estremo relativo al cambiamento climatico che potrebbe indurre, anche a causa dell’innalzamento del livello del mare, ma specialmente delle conseguenze climatiche delle emissioni, un pericolo crescente nel secolo in corso: senza interventi di mitigazione dei danni climatici e di protezione delle coste i </w:t>
      </w:r>
      <w:r w:rsidR="00B86540">
        <w:rPr>
          <w:rFonts w:ascii="Arial" w:hAnsi="Arial" w:cs="Arial"/>
          <w:color w:val="666666"/>
          <w:sz w:val="20"/>
          <w:szCs w:val="20"/>
        </w:rPr>
        <w:t>Paesi europei potrebbero subire</w:t>
      </w:r>
      <w:r w:rsidRPr="00666F77">
        <w:rPr>
          <w:rFonts w:ascii="Arial" w:hAnsi="Arial" w:cs="Arial"/>
          <w:color w:val="666666"/>
          <w:sz w:val="20"/>
          <w:szCs w:val="20"/>
        </w:rPr>
        <w:t xml:space="preserve"> un danno annuale di 800 miliardi di euro causato da inondazioni, a fronte di un costo per interventi preventivi pari a 2 miliardi all’anno. Per la sola Italia esposti al rischio inondazioni marine sarebbero più di 70.000 abitanti.</w:t>
      </w:r>
    </w:p>
    <w:p w14:paraId="6A79BA43" w14:textId="0880622F" w:rsidR="00BC1AA4" w:rsidRDefault="00BE2998" w:rsidP="00BE2998">
      <w:pPr>
        <w:pStyle w:val="NormaleWeb"/>
        <w:shd w:val="clear" w:color="auto" w:fill="FFFFFF"/>
        <w:jc w:val="right"/>
        <w:rPr>
          <w:rFonts w:ascii="Arial" w:hAnsi="Arial" w:cs="Arial"/>
          <w:color w:val="666666"/>
          <w:sz w:val="20"/>
          <w:szCs w:val="20"/>
        </w:rPr>
      </w:pPr>
      <w:r w:rsidRPr="009B5ACD">
        <w:rPr>
          <w:rFonts w:ascii="Arial" w:hAnsi="Arial" w:cs="Arial"/>
          <w:color w:val="666666"/>
          <w:sz w:val="20"/>
          <w:szCs w:val="20"/>
        </w:rPr>
        <w:tab/>
      </w:r>
      <w:r w:rsidRPr="009B5ACD">
        <w:rPr>
          <w:rFonts w:ascii="Arial" w:hAnsi="Arial" w:cs="Arial"/>
          <w:color w:val="666666"/>
          <w:sz w:val="20"/>
          <w:szCs w:val="20"/>
        </w:rPr>
        <w:tab/>
      </w:r>
      <w:r w:rsidRPr="009B5ACD">
        <w:rPr>
          <w:rFonts w:ascii="Arial" w:hAnsi="Arial" w:cs="Arial"/>
          <w:color w:val="666666"/>
          <w:sz w:val="20"/>
          <w:szCs w:val="20"/>
        </w:rPr>
        <w:tab/>
      </w:r>
      <w:r w:rsidRPr="009B5ACD">
        <w:rPr>
          <w:rFonts w:ascii="Arial" w:hAnsi="Arial" w:cs="Arial"/>
          <w:color w:val="666666"/>
          <w:sz w:val="20"/>
          <w:szCs w:val="20"/>
        </w:rPr>
        <w:tab/>
      </w:r>
      <w:r w:rsidRPr="009B5ACD">
        <w:rPr>
          <w:rFonts w:ascii="Arial" w:hAnsi="Arial" w:cs="Arial"/>
          <w:color w:val="666666"/>
          <w:sz w:val="20"/>
          <w:szCs w:val="20"/>
        </w:rPr>
        <w:tab/>
      </w:r>
      <w:r w:rsidRPr="009B5ACD">
        <w:rPr>
          <w:rFonts w:ascii="Arial" w:hAnsi="Arial" w:cs="Arial"/>
          <w:color w:val="666666"/>
          <w:sz w:val="20"/>
          <w:szCs w:val="20"/>
        </w:rPr>
        <w:tab/>
      </w:r>
      <w:r w:rsidRPr="009B5ACD">
        <w:rPr>
          <w:rFonts w:ascii="Arial" w:hAnsi="Arial" w:cs="Arial"/>
          <w:color w:val="666666"/>
          <w:sz w:val="20"/>
          <w:szCs w:val="20"/>
        </w:rPr>
        <w:tab/>
      </w:r>
      <w:r w:rsidRPr="009B5ACD">
        <w:rPr>
          <w:rFonts w:ascii="Arial" w:hAnsi="Arial" w:cs="Arial"/>
          <w:color w:val="666666"/>
          <w:sz w:val="20"/>
          <w:szCs w:val="20"/>
        </w:rPr>
        <w:tab/>
      </w:r>
      <w:r w:rsidRPr="009B5ACD">
        <w:rPr>
          <w:rFonts w:ascii="Arial" w:hAnsi="Arial" w:cs="Arial"/>
          <w:color w:val="666666"/>
          <w:sz w:val="20"/>
          <w:szCs w:val="20"/>
        </w:rPr>
        <w:tab/>
      </w:r>
      <w:r w:rsidRPr="009B5ACD">
        <w:rPr>
          <w:rFonts w:ascii="Arial" w:hAnsi="Arial" w:cs="Arial"/>
          <w:color w:val="666666"/>
          <w:sz w:val="20"/>
          <w:szCs w:val="20"/>
        </w:rPr>
        <w:tab/>
      </w:r>
    </w:p>
    <w:p w14:paraId="58DD5A30" w14:textId="2E62DB7F" w:rsidR="00C23F88" w:rsidRDefault="00666F77" w:rsidP="00C23F88">
      <w:pPr>
        <w:pStyle w:val="NormaleWeb"/>
        <w:shd w:val="clear" w:color="auto" w:fill="FFFFFF"/>
        <w:jc w:val="right"/>
        <w:rPr>
          <w:rFonts w:ascii="Arial" w:hAnsi="Arial" w:cs="Arial"/>
          <w:color w:val="666666"/>
          <w:sz w:val="20"/>
          <w:szCs w:val="20"/>
        </w:rPr>
      </w:pPr>
      <w:r>
        <w:rPr>
          <w:rFonts w:ascii="Arial" w:hAnsi="Arial" w:cs="Arial"/>
          <w:color w:val="666666"/>
          <w:sz w:val="20"/>
          <w:szCs w:val="20"/>
        </w:rPr>
        <w:t>16</w:t>
      </w:r>
      <w:r w:rsidR="00BE2998" w:rsidRPr="009B5ACD">
        <w:rPr>
          <w:rFonts w:ascii="Arial" w:hAnsi="Arial" w:cs="Arial"/>
          <w:color w:val="666666"/>
          <w:sz w:val="20"/>
          <w:szCs w:val="20"/>
        </w:rPr>
        <w:t xml:space="preserve"> giugno 2020</w:t>
      </w:r>
    </w:p>
    <w:p w14:paraId="4043510F" w14:textId="77777777" w:rsidR="009211B7" w:rsidRDefault="009211B7" w:rsidP="0047025E">
      <w:pPr>
        <w:pStyle w:val="NormaleWeb"/>
        <w:shd w:val="clear" w:color="auto" w:fill="FFFFFF"/>
        <w:rPr>
          <w:rFonts w:ascii="Arial" w:hAnsi="Arial" w:cs="Arial"/>
          <w:color w:val="666666"/>
          <w:sz w:val="20"/>
          <w:szCs w:val="20"/>
        </w:rPr>
      </w:pPr>
    </w:p>
    <w:p w14:paraId="7FC5FB1A" w14:textId="66C4DCF4" w:rsidR="0047025E" w:rsidRPr="0047025E" w:rsidRDefault="0047025E" w:rsidP="0047025E">
      <w:pPr>
        <w:pStyle w:val="NormaleWeb"/>
        <w:shd w:val="clear" w:color="auto" w:fill="FFFFFF"/>
        <w:rPr>
          <w:rFonts w:ascii="Arial" w:hAnsi="Arial" w:cs="Arial"/>
          <w:i/>
          <w:color w:val="666666"/>
          <w:sz w:val="20"/>
          <w:szCs w:val="20"/>
        </w:rPr>
      </w:pPr>
      <w:r w:rsidRPr="0047025E">
        <w:rPr>
          <w:rFonts w:ascii="Arial" w:hAnsi="Arial" w:cs="Arial"/>
          <w:i/>
          <w:color w:val="666666"/>
          <w:sz w:val="20"/>
          <w:szCs w:val="20"/>
        </w:rPr>
        <w:t xml:space="preserve">Allegato: </w:t>
      </w:r>
      <w:proofErr w:type="spellStart"/>
      <w:r w:rsidRPr="0047025E">
        <w:rPr>
          <w:rFonts w:ascii="Arial" w:hAnsi="Arial" w:cs="Arial"/>
          <w:i/>
          <w:color w:val="666666"/>
          <w:sz w:val="20"/>
          <w:szCs w:val="20"/>
        </w:rPr>
        <w:t>infografica</w:t>
      </w:r>
      <w:proofErr w:type="spellEnd"/>
      <w:r w:rsidRPr="0047025E">
        <w:rPr>
          <w:rFonts w:ascii="Arial" w:hAnsi="Arial" w:cs="Arial"/>
          <w:i/>
          <w:color w:val="666666"/>
          <w:sz w:val="20"/>
          <w:szCs w:val="20"/>
        </w:rPr>
        <w:t xml:space="preserve"> diffusa su web dalla Commissione Eu</w:t>
      </w:r>
      <w:bookmarkStart w:id="0" w:name="_GoBack"/>
      <w:bookmarkEnd w:id="0"/>
      <w:r w:rsidRPr="0047025E">
        <w:rPr>
          <w:rFonts w:ascii="Arial" w:hAnsi="Arial" w:cs="Arial"/>
          <w:i/>
          <w:color w:val="666666"/>
          <w:sz w:val="20"/>
          <w:szCs w:val="20"/>
        </w:rPr>
        <w:t>ropea.</w:t>
      </w:r>
    </w:p>
    <w:p w14:paraId="718977D3" w14:textId="77777777" w:rsidR="009211B7" w:rsidRDefault="009211B7" w:rsidP="00C23F88">
      <w:pPr>
        <w:pStyle w:val="NormaleWeb"/>
        <w:shd w:val="clear" w:color="auto" w:fill="FFFFFF"/>
        <w:jc w:val="right"/>
        <w:rPr>
          <w:rFonts w:ascii="Arial" w:hAnsi="Arial" w:cs="Arial"/>
          <w:color w:val="666666"/>
          <w:sz w:val="20"/>
          <w:szCs w:val="20"/>
        </w:rPr>
      </w:pPr>
    </w:p>
    <w:p w14:paraId="7A0B8723" w14:textId="3ED9DBB3" w:rsidR="003E5804" w:rsidRPr="00C23F88" w:rsidRDefault="003E5804" w:rsidP="00C23F88">
      <w:pPr>
        <w:pStyle w:val="NormaleWeb"/>
        <w:shd w:val="clear" w:color="auto" w:fill="FFFFFF"/>
        <w:rPr>
          <w:rFonts w:ascii="Arial" w:hAnsi="Arial" w:cs="Arial"/>
          <w:color w:val="666666"/>
          <w:sz w:val="20"/>
          <w:szCs w:val="20"/>
        </w:rPr>
      </w:pPr>
      <w:r w:rsidRPr="009B5ACD">
        <w:rPr>
          <w:rFonts w:ascii="Arial" w:hAnsi="Arial" w:cs="Arial"/>
          <w:color w:val="767171" w:themeColor="background2" w:themeShade="80"/>
          <w:sz w:val="20"/>
          <w:szCs w:val="20"/>
        </w:rPr>
        <w:t>Per ulteriori informazioni</w:t>
      </w:r>
      <w:r w:rsidRPr="009B5ACD">
        <w:rPr>
          <w:rFonts w:ascii="Arial" w:hAnsi="Arial" w:cs="Arial"/>
          <w:color w:val="767171" w:themeColor="background2" w:themeShade="80"/>
          <w:sz w:val="20"/>
          <w:szCs w:val="20"/>
        </w:rPr>
        <w:br/>
        <w:t>Barbara Gazzale</w:t>
      </w:r>
    </w:p>
    <w:p w14:paraId="686C5F0E" w14:textId="77777777" w:rsidR="009B5ACD" w:rsidRPr="009B5ACD" w:rsidRDefault="002E37FD" w:rsidP="009B5ACD">
      <w:pPr>
        <w:pStyle w:val="Nessunaspaziatura"/>
        <w:rPr>
          <w:rFonts w:ascii="Arial" w:hAnsi="Arial" w:cs="Arial"/>
          <w:color w:val="767171" w:themeColor="background2" w:themeShade="80"/>
          <w:sz w:val="20"/>
          <w:szCs w:val="20"/>
        </w:rPr>
      </w:pPr>
      <w:r w:rsidRPr="009B5ACD">
        <w:rPr>
          <w:rFonts w:ascii="Arial" w:hAnsi="Arial" w:cs="Arial"/>
          <w:color w:val="767171" w:themeColor="background2" w:themeShade="80"/>
          <w:sz w:val="20"/>
          <w:szCs w:val="20"/>
        </w:rPr>
        <w:t xml:space="preserve">0039 </w:t>
      </w:r>
      <w:r w:rsidR="003E5804" w:rsidRPr="009B5ACD">
        <w:rPr>
          <w:rFonts w:ascii="Arial" w:hAnsi="Arial" w:cs="Arial"/>
          <w:color w:val="767171" w:themeColor="background2" w:themeShade="80"/>
          <w:sz w:val="20"/>
          <w:szCs w:val="20"/>
        </w:rPr>
        <w:t>348 41 44 780</w:t>
      </w:r>
    </w:p>
    <w:p w14:paraId="0A179193" w14:textId="20879CE4" w:rsidR="002E37FD" w:rsidRPr="009B5ACD" w:rsidRDefault="002E37FD" w:rsidP="009B5ACD">
      <w:pPr>
        <w:pStyle w:val="Nessunaspaziatura"/>
        <w:rPr>
          <w:rFonts w:ascii="Arial" w:hAnsi="Arial" w:cs="Arial"/>
          <w:color w:val="767171" w:themeColor="background2" w:themeShade="80"/>
          <w:sz w:val="20"/>
          <w:szCs w:val="20"/>
        </w:rPr>
      </w:pPr>
      <w:r w:rsidRPr="009B5ACD">
        <w:rPr>
          <w:rFonts w:ascii="Arial" w:hAnsi="Arial" w:cs="Arial"/>
          <w:color w:val="767171" w:themeColor="background2" w:themeShade="80"/>
          <w:sz w:val="20"/>
          <w:szCs w:val="20"/>
        </w:rPr>
        <w:t>0041 78 6433361</w:t>
      </w:r>
    </w:p>
    <w:p w14:paraId="4DB5C79C" w14:textId="77777777" w:rsidR="00200555" w:rsidRDefault="00200555">
      <w:pPr>
        <w:rPr>
          <w:noProof/>
          <w:lang w:eastAsia="it-IT"/>
        </w:rPr>
      </w:pPr>
    </w:p>
    <w:p w14:paraId="51B7806A" w14:textId="77777777" w:rsidR="00CB2D70" w:rsidRDefault="00CB2D70"/>
    <w:sectPr w:rsidR="00CB2D70" w:rsidSect="00200555">
      <w:headerReference w:type="default" r:id="rId7"/>
      <w:footerReference w:type="default" r:id="rId8"/>
      <w:pgSz w:w="11906" w:h="16838"/>
      <w:pgMar w:top="2835" w:right="707" w:bottom="1134" w:left="567" w:header="426" w:footer="4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E0CA3" w14:textId="77777777" w:rsidR="00265D4B" w:rsidRDefault="00265D4B" w:rsidP="00BF6CA3">
      <w:pPr>
        <w:spacing w:after="0" w:line="240" w:lineRule="auto"/>
      </w:pPr>
      <w:r>
        <w:separator/>
      </w:r>
    </w:p>
  </w:endnote>
  <w:endnote w:type="continuationSeparator" w:id="0">
    <w:p w14:paraId="453022CB" w14:textId="77777777" w:rsidR="00265D4B" w:rsidRDefault="00265D4B" w:rsidP="00BF6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2CFEC" w14:textId="77777777" w:rsidR="00C23F88" w:rsidRDefault="00C23F88" w:rsidP="00BF6CA3">
    <w:pPr>
      <w:pStyle w:val="Pidipagina"/>
      <w:ind w:left="-567"/>
      <w:jc w:val="center"/>
      <w:rPr>
        <w:color w:val="002060"/>
      </w:rPr>
    </w:pPr>
  </w:p>
  <w:p w14:paraId="054900C5" w14:textId="1E196C6D" w:rsidR="00BF6CA3" w:rsidRDefault="00BF6CA3" w:rsidP="00BF6CA3">
    <w:pPr>
      <w:pStyle w:val="Pidipagina"/>
      <w:ind w:left="-567"/>
      <w:jc w:val="center"/>
      <w:rPr>
        <w:color w:val="002060"/>
      </w:rPr>
    </w:pPr>
    <w:r>
      <w:rPr>
        <w:noProof/>
        <w:color w:val="002060"/>
        <w:lang w:eastAsia="it-IT"/>
      </w:rPr>
      <mc:AlternateContent>
        <mc:Choice Requires="wps">
          <w:drawing>
            <wp:anchor distT="0" distB="0" distL="114300" distR="114300" simplePos="0" relativeHeight="251659264" behindDoc="0" locked="0" layoutInCell="1" allowOverlap="1" wp14:anchorId="68A4D276" wp14:editId="423012B5">
              <wp:simplePos x="0" y="0"/>
              <wp:positionH relativeFrom="column">
                <wp:posOffset>-14989</wp:posOffset>
              </wp:positionH>
              <wp:positionV relativeFrom="paragraph">
                <wp:posOffset>-10016</wp:posOffset>
              </wp:positionV>
              <wp:extent cx="6806241" cy="0"/>
              <wp:effectExtent l="0" t="0" r="33020" b="19050"/>
              <wp:wrapNone/>
              <wp:docPr id="57" name="Connettore 1 57"/>
              <wp:cNvGraphicFramePr/>
              <a:graphic xmlns:a="http://schemas.openxmlformats.org/drawingml/2006/main">
                <a:graphicData uri="http://schemas.microsoft.com/office/word/2010/wordprocessingShape">
                  <wps:wsp>
                    <wps:cNvCnPr/>
                    <wps:spPr>
                      <a:xfrm>
                        <a:off x="0" y="0"/>
                        <a:ext cx="6806241" cy="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00557" id="Connettore 1 5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8pt" to="534.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" strokecolor="#002060" strokeweight=".5pt">
              <v:stroke joinstyle="miter"/>
            </v:line>
          </w:pict>
        </mc:Fallback>
      </mc:AlternateContent>
    </w:r>
    <w:r w:rsidRPr="00BF6CA3">
      <w:rPr>
        <w:color w:val="002060"/>
      </w:rPr>
      <w:t>CENTRO STUDI | DATA&amp;MEDIA CENTER | BLUE BUSINESS CONNECTOR</w:t>
    </w:r>
  </w:p>
  <w:p w14:paraId="5CAF42A2" w14:textId="7B342246" w:rsidR="00BF6CA3" w:rsidRDefault="00BF6CA3" w:rsidP="00BF6CA3">
    <w:pPr>
      <w:pStyle w:val="Pidipagina"/>
      <w:tabs>
        <w:tab w:val="clear" w:pos="9638"/>
      </w:tabs>
      <w:ind w:left="-142"/>
      <w:jc w:val="center"/>
      <w:rPr>
        <w:color w:val="002060"/>
        <w:sz w:val="20"/>
      </w:rPr>
    </w:pPr>
    <w:r w:rsidRPr="00BF6CA3">
      <w:rPr>
        <w:color w:val="002060"/>
        <w:sz w:val="20"/>
      </w:rPr>
      <w:t>Società di promozione: BD COMMUNICATION Sagl - via Lucchini 1, CH - 6900 Lugano - 0041 764237450 - 0041 786433360</w:t>
    </w:r>
  </w:p>
  <w:p w14:paraId="4A9C1C1D" w14:textId="169B81D8" w:rsidR="00BF6CA3" w:rsidRPr="00E2693D" w:rsidRDefault="00265D4B" w:rsidP="00BC1AA4">
    <w:pPr>
      <w:pStyle w:val="Pidipagina"/>
      <w:tabs>
        <w:tab w:val="clear" w:pos="9638"/>
      </w:tabs>
      <w:ind w:left="-142"/>
      <w:jc w:val="center"/>
      <w:rPr>
        <w:b/>
        <w:color w:val="1F4E79" w:themeColor="accent1" w:themeShade="80"/>
        <w:sz w:val="20"/>
      </w:rPr>
    </w:pPr>
    <w:hyperlink r:id="rId1" w:history="1">
      <w:r w:rsidR="00BF6CA3" w:rsidRPr="00E2693D">
        <w:rPr>
          <w:rStyle w:val="Collegamentoipertestuale"/>
          <w:b/>
          <w:color w:val="1F4E79" w:themeColor="accent1" w:themeShade="80"/>
          <w:sz w:val="20"/>
          <w:u w:val="none"/>
        </w:rPr>
        <w:t>www.bluemonitorlab.com</w:t>
      </w:r>
    </w:hyperlink>
    <w:r w:rsidR="00BF6CA3" w:rsidRPr="00E2693D">
      <w:rPr>
        <w:b/>
        <w:color w:val="1F4E79" w:themeColor="accent1" w:themeShade="80"/>
        <w:sz w:val="20"/>
      </w:rPr>
      <w:t xml:space="preserve"> | </w:t>
    </w:r>
    <w:hyperlink r:id="rId2" w:history="1">
      <w:r w:rsidR="00176DAE" w:rsidRPr="00E2693D">
        <w:rPr>
          <w:rStyle w:val="Collegamentoipertestuale"/>
          <w:b/>
          <w:color w:val="1F4E79" w:themeColor="accent1" w:themeShade="80"/>
          <w:sz w:val="20"/>
          <w:u w:val="none"/>
        </w:rPr>
        <w:t>www.bluemonitorlab.org</w:t>
      </w:r>
    </w:hyperlink>
  </w:p>
  <w:p w14:paraId="676AC7F0" w14:textId="72B1EFCA" w:rsidR="00176DAE" w:rsidRPr="00BF6CA3" w:rsidRDefault="00176DAE" w:rsidP="00BC1AA4">
    <w:pPr>
      <w:pStyle w:val="Pidipagina"/>
      <w:tabs>
        <w:tab w:val="clear" w:pos="9638"/>
      </w:tabs>
      <w:ind w:left="-142"/>
      <w:jc w:val="center"/>
      <w:rPr>
        <w:b/>
        <w:color w:val="002060"/>
        <w:sz w:val="20"/>
      </w:rPr>
    </w:pPr>
    <w:proofErr w:type="gramStart"/>
    <w:r>
      <w:rPr>
        <w:b/>
        <w:color w:val="002060"/>
        <w:sz w:val="20"/>
      </w:rPr>
      <w:t>in</w:t>
    </w:r>
    <w:proofErr w:type="gramEnd"/>
    <w:r>
      <w:rPr>
        <w:b/>
        <w:color w:val="002060"/>
        <w:sz w:val="20"/>
      </w:rPr>
      <w:t xml:space="preserve"> collaborazione con</w:t>
    </w:r>
    <w:r w:rsidR="00D91F50">
      <w:rPr>
        <w:b/>
        <w:color w:val="002060"/>
        <w:sz w:val="20"/>
      </w:rPr>
      <w:t xml:space="preserve">    </w:t>
    </w:r>
    <w:r>
      <w:rPr>
        <w:b/>
        <w:color w:val="002060"/>
        <w:sz w:val="20"/>
      </w:rPr>
      <w:t xml:space="preserve"> </w:t>
    </w:r>
    <w:r>
      <w:rPr>
        <w:b/>
        <w:noProof/>
        <w:color w:val="002060"/>
        <w:sz w:val="20"/>
        <w:lang w:eastAsia="it-IT"/>
      </w:rPr>
      <w:drawing>
        <wp:inline distT="0" distB="0" distL="0" distR="0" wp14:anchorId="2904174A" wp14:editId="5C0D9F1C">
          <wp:extent cx="765810" cy="297948"/>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Valley.jpeg"/>
                  <pic:cNvPicPr/>
                </pic:nvPicPr>
                <pic:blipFill>
                  <a:blip r:embed="rId3">
                    <a:extLst>
                      <a:ext uri="{28A0092B-C50C-407E-A947-70E740481C1C}">
                        <a14:useLocalDpi xmlns:a14="http://schemas.microsoft.com/office/drawing/2010/main" val="0"/>
                      </a:ext>
                    </a:extLst>
                  </a:blip>
                  <a:stretch>
                    <a:fillRect/>
                  </a:stretch>
                </pic:blipFill>
                <pic:spPr>
                  <a:xfrm>
                    <a:off x="0" y="0"/>
                    <a:ext cx="901733" cy="350831"/>
                  </a:xfrm>
                  <a:prstGeom prst="rect">
                    <a:avLst/>
                  </a:prstGeom>
                </pic:spPr>
              </pic:pic>
            </a:graphicData>
          </a:graphic>
        </wp:inline>
      </w:drawing>
    </w:r>
    <w:r w:rsidR="00E9254B">
      <w:rPr>
        <w:b/>
        <w:color w:val="002060"/>
        <w:sz w:val="20"/>
      </w:rPr>
      <w:t xml:space="preserve">   </w:t>
    </w:r>
    <w:r w:rsidR="00E9254B">
      <w:rPr>
        <w:b/>
        <w:noProof/>
        <w:color w:val="002060"/>
        <w:sz w:val="20"/>
        <w:lang w:eastAsia="it-IT"/>
      </w:rPr>
      <w:drawing>
        <wp:inline distT="0" distB="0" distL="0" distR="0" wp14:anchorId="75B010CA" wp14:editId="7E811701">
          <wp:extent cx="1111250" cy="19243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iuseppe razza.png"/>
                  <pic:cNvPicPr/>
                </pic:nvPicPr>
                <pic:blipFill>
                  <a:blip r:embed="rId4">
                    <a:extLst>
                      <a:ext uri="{28A0092B-C50C-407E-A947-70E740481C1C}">
                        <a14:useLocalDpi xmlns:a14="http://schemas.microsoft.com/office/drawing/2010/main" val="0"/>
                      </a:ext>
                    </a:extLst>
                  </a:blip>
                  <a:stretch>
                    <a:fillRect/>
                  </a:stretch>
                </pic:blipFill>
                <pic:spPr>
                  <a:xfrm>
                    <a:off x="0" y="0"/>
                    <a:ext cx="1203203" cy="2083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FF081" w14:textId="77777777" w:rsidR="00265D4B" w:rsidRDefault="00265D4B" w:rsidP="00BF6CA3">
      <w:pPr>
        <w:spacing w:after="0" w:line="240" w:lineRule="auto"/>
      </w:pPr>
      <w:r>
        <w:separator/>
      </w:r>
    </w:p>
  </w:footnote>
  <w:footnote w:type="continuationSeparator" w:id="0">
    <w:p w14:paraId="0A2D6210" w14:textId="77777777" w:rsidR="00265D4B" w:rsidRDefault="00265D4B" w:rsidP="00BF6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7EFD64" w14:textId="77777777" w:rsidR="00BF6CA3" w:rsidRDefault="00200555" w:rsidP="00200555">
    <w:pPr>
      <w:pStyle w:val="Intestazione"/>
      <w:jc w:val="center"/>
      <w:rPr>
        <w:noProof/>
        <w:lang w:eastAsia="it-IT"/>
      </w:rPr>
    </w:pPr>
    <w:r>
      <w:rPr>
        <w:noProof/>
        <w:lang w:eastAsia="it-IT"/>
      </w:rPr>
      <w:drawing>
        <wp:inline distT="0" distB="0" distL="0" distR="0" wp14:anchorId="4AA0FCE9" wp14:editId="1D134C37">
          <wp:extent cx="1364483" cy="1552754"/>
          <wp:effectExtent l="0" t="0" r="762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ue monitor lab.jpg"/>
                  <pic:cNvPicPr/>
                </pic:nvPicPr>
                <pic:blipFill rotWithShape="1">
                  <a:blip r:embed="rId1">
                    <a:extLst>
                      <a:ext uri="{28A0092B-C50C-407E-A947-70E740481C1C}">
                        <a14:useLocalDpi xmlns:a14="http://schemas.microsoft.com/office/drawing/2010/main" val="0"/>
                      </a:ext>
                    </a:extLst>
                  </a:blip>
                  <a:srcRect l="32110" t="33255" r="29962" b="36232"/>
                  <a:stretch/>
                </pic:blipFill>
                <pic:spPr bwMode="auto">
                  <a:xfrm>
                    <a:off x="0" y="0"/>
                    <a:ext cx="1379064" cy="1569347"/>
                  </a:xfrm>
                  <a:prstGeom prst="rect">
                    <a:avLst/>
                  </a:prstGeom>
                  <a:ln>
                    <a:noFill/>
                  </a:ln>
                  <a:extLst>
                    <a:ext uri="{53640926-AAD7-44D8-BBD7-CCE9431645EC}">
                      <a14:shadowObscured xmlns:a14="http://schemas.microsoft.com/office/drawing/2010/main"/>
                    </a:ext>
                  </a:extLst>
                </pic:spPr>
              </pic:pic>
            </a:graphicData>
          </a:graphic>
        </wp:inline>
      </w:drawing>
    </w:r>
  </w:p>
  <w:p w14:paraId="15CBA219" w14:textId="77777777" w:rsidR="00BF6CA3" w:rsidRDefault="00BF6CA3" w:rsidP="00BF6CA3">
    <w:pPr>
      <w:pStyle w:val="Intestazione"/>
      <w:jc w:val="center"/>
    </w:pPr>
  </w:p>
  <w:p w14:paraId="40165879" w14:textId="77777777" w:rsidR="00BF6CA3" w:rsidRDefault="003D2B2B" w:rsidP="003D2B2B">
    <w:pPr>
      <w:pStyle w:val="Intestazione"/>
      <w:tabs>
        <w:tab w:val="clear" w:pos="9638"/>
        <w:tab w:val="left" w:pos="4956"/>
        <w:tab w:val="left" w:pos="5664"/>
        <w:tab w:val="left" w:pos="6372"/>
        <w:tab w:val="left" w:pos="7080"/>
      </w:tabs>
    </w:pPr>
    <w:r>
      <w:rPr>
        <w:noProof/>
        <w:color w:val="002060"/>
        <w:lang w:eastAsia="it-IT"/>
      </w:rPr>
      <mc:AlternateContent>
        <mc:Choice Requires="wps">
          <w:drawing>
            <wp:anchor distT="0" distB="0" distL="114300" distR="114300" simplePos="0" relativeHeight="251661312" behindDoc="0" locked="0" layoutInCell="1" allowOverlap="1" wp14:anchorId="085F9E18" wp14:editId="5740B677">
              <wp:simplePos x="0" y="0"/>
              <wp:positionH relativeFrom="margin">
                <wp:align>left</wp:align>
              </wp:positionH>
              <wp:positionV relativeFrom="paragraph">
                <wp:posOffset>7393</wp:posOffset>
              </wp:positionV>
              <wp:extent cx="6806241" cy="0"/>
              <wp:effectExtent l="0" t="0" r="33020" b="19050"/>
              <wp:wrapNone/>
              <wp:docPr id="58" name="Connettore 1 58"/>
              <wp:cNvGraphicFramePr/>
              <a:graphic xmlns:a="http://schemas.openxmlformats.org/drawingml/2006/main">
                <a:graphicData uri="http://schemas.microsoft.com/office/word/2010/wordprocessingShape">
                  <wps:wsp>
                    <wps:cNvCnPr/>
                    <wps:spPr>
                      <a:xfrm>
                        <a:off x="0" y="0"/>
                        <a:ext cx="6806241" cy="0"/>
                      </a:xfrm>
                      <a:prstGeom prst="line">
                        <a:avLst/>
                      </a:prstGeom>
                      <a:ln>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31F84E9" id="Connettore 1 58"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6pt" to="535.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" strokecolor="#002060" strokeweight=".5pt">
              <v:stroke joinstyle="miter"/>
              <w10:wrap anchorx="margin"/>
            </v:line>
          </w:pict>
        </mc:Fallback>
      </mc:AlternateContent>
    </w: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A3"/>
    <w:rsid w:val="00084932"/>
    <w:rsid w:val="00094E36"/>
    <w:rsid w:val="000B28DD"/>
    <w:rsid w:val="00176DAE"/>
    <w:rsid w:val="001F23AD"/>
    <w:rsid w:val="00200555"/>
    <w:rsid w:val="00250309"/>
    <w:rsid w:val="00265D4B"/>
    <w:rsid w:val="002758AD"/>
    <w:rsid w:val="002B01C2"/>
    <w:rsid w:val="002E37FD"/>
    <w:rsid w:val="002F3A7F"/>
    <w:rsid w:val="003621C0"/>
    <w:rsid w:val="003D2B2B"/>
    <w:rsid w:val="003E5804"/>
    <w:rsid w:val="00413A35"/>
    <w:rsid w:val="0047025E"/>
    <w:rsid w:val="0051032D"/>
    <w:rsid w:val="00532869"/>
    <w:rsid w:val="005D78B5"/>
    <w:rsid w:val="00607EAC"/>
    <w:rsid w:val="00636CF6"/>
    <w:rsid w:val="00666F77"/>
    <w:rsid w:val="006E0CFB"/>
    <w:rsid w:val="00703344"/>
    <w:rsid w:val="007A1594"/>
    <w:rsid w:val="00822506"/>
    <w:rsid w:val="008A549C"/>
    <w:rsid w:val="009211B7"/>
    <w:rsid w:val="009B3815"/>
    <w:rsid w:val="009B5ACD"/>
    <w:rsid w:val="009E74DD"/>
    <w:rsid w:val="00A66A27"/>
    <w:rsid w:val="00A92A4F"/>
    <w:rsid w:val="00AF6C3B"/>
    <w:rsid w:val="00B27B14"/>
    <w:rsid w:val="00B86540"/>
    <w:rsid w:val="00BC1AA4"/>
    <w:rsid w:val="00BE2998"/>
    <w:rsid w:val="00BF6CA3"/>
    <w:rsid w:val="00C06432"/>
    <w:rsid w:val="00C23F88"/>
    <w:rsid w:val="00C26C5C"/>
    <w:rsid w:val="00CB2D70"/>
    <w:rsid w:val="00CE70AC"/>
    <w:rsid w:val="00D91F50"/>
    <w:rsid w:val="00DA649C"/>
    <w:rsid w:val="00DF300E"/>
    <w:rsid w:val="00E2693D"/>
    <w:rsid w:val="00E9254B"/>
    <w:rsid w:val="00F01579"/>
    <w:rsid w:val="00F70F58"/>
    <w:rsid w:val="00FA2EAE"/>
    <w:rsid w:val="00FB38DD"/>
    <w:rsid w:val="00FD70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7DB8C"/>
  <w15:chartTrackingRefBased/>
  <w15:docId w15:val="{7CF6F933-21A0-48D3-9237-D9A61FED6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F6C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6CA3"/>
  </w:style>
  <w:style w:type="paragraph" w:styleId="Pidipagina">
    <w:name w:val="footer"/>
    <w:basedOn w:val="Normale"/>
    <w:link w:val="PidipaginaCarattere"/>
    <w:uiPriority w:val="99"/>
    <w:unhideWhenUsed/>
    <w:rsid w:val="00BF6C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6CA3"/>
  </w:style>
  <w:style w:type="character" w:styleId="Collegamentoipertestuale">
    <w:name w:val="Hyperlink"/>
    <w:basedOn w:val="Carpredefinitoparagrafo"/>
    <w:uiPriority w:val="99"/>
    <w:unhideWhenUsed/>
    <w:rsid w:val="00BF6CA3"/>
    <w:rPr>
      <w:color w:val="0563C1" w:themeColor="hyperlink"/>
      <w:u w:val="single"/>
    </w:rPr>
  </w:style>
  <w:style w:type="paragraph" w:styleId="NormaleWeb">
    <w:name w:val="Normal (Web)"/>
    <w:basedOn w:val="Normale"/>
    <w:uiPriority w:val="99"/>
    <w:unhideWhenUsed/>
    <w:rsid w:val="003E5804"/>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customStyle="1" w:styleId="UnresolvedMention">
    <w:name w:val="Unresolved Mention"/>
    <w:basedOn w:val="Carpredefinitoparagrafo"/>
    <w:uiPriority w:val="99"/>
    <w:semiHidden/>
    <w:unhideWhenUsed/>
    <w:rsid w:val="00176DAE"/>
    <w:rPr>
      <w:color w:val="605E5C"/>
      <w:shd w:val="clear" w:color="auto" w:fill="E1DFDD"/>
    </w:rPr>
  </w:style>
  <w:style w:type="paragraph" w:styleId="Nessunaspaziatura">
    <w:name w:val="No Spacing"/>
    <w:uiPriority w:val="1"/>
    <w:qFormat/>
    <w:rsid w:val="009B5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281">
      <w:bodyDiv w:val="1"/>
      <w:marLeft w:val="0"/>
      <w:marRight w:val="0"/>
      <w:marTop w:val="0"/>
      <w:marBottom w:val="0"/>
      <w:divBdr>
        <w:top w:val="none" w:sz="0" w:space="0" w:color="auto"/>
        <w:left w:val="none" w:sz="0" w:space="0" w:color="auto"/>
        <w:bottom w:val="none" w:sz="0" w:space="0" w:color="auto"/>
        <w:right w:val="none" w:sz="0" w:space="0" w:color="auto"/>
      </w:divBdr>
    </w:div>
    <w:div w:id="280915770">
      <w:bodyDiv w:val="1"/>
      <w:marLeft w:val="0"/>
      <w:marRight w:val="0"/>
      <w:marTop w:val="0"/>
      <w:marBottom w:val="0"/>
      <w:divBdr>
        <w:top w:val="none" w:sz="0" w:space="0" w:color="auto"/>
        <w:left w:val="none" w:sz="0" w:space="0" w:color="auto"/>
        <w:bottom w:val="none" w:sz="0" w:space="0" w:color="auto"/>
        <w:right w:val="none" w:sz="0" w:space="0" w:color="auto"/>
      </w:divBdr>
    </w:div>
    <w:div w:id="84247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luemonitorlab.org" TargetMode="External"/><Relationship Id="rId1" Type="http://schemas.openxmlformats.org/officeDocument/2006/relationships/hyperlink" Target="http://www.bluemonitorlab.com"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6D140-A55D-4643-8126-9F4AA84C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722</Words>
  <Characters>4121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2020-06-16T10:38:00Z</dcterms:created>
  <dcterms:modified xsi:type="dcterms:W3CDTF">2020-06-16T11:59:00Z</dcterms:modified>
</cp:coreProperties>
</file>