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6EA46" w14:textId="77777777" w:rsidR="00A26067" w:rsidRDefault="00A26067" w:rsidP="00A33607">
      <w:pPr>
        <w:jc w:val="both"/>
        <w:rPr>
          <w:rFonts w:ascii="Open Sans" w:hAnsi="Open Sans"/>
        </w:rPr>
      </w:pPr>
    </w:p>
    <w:p w14:paraId="20E8AD6C" w14:textId="77777777" w:rsidR="00D56DB5" w:rsidRDefault="00D56DB5" w:rsidP="00A33607">
      <w:pPr>
        <w:jc w:val="both"/>
        <w:rPr>
          <w:rFonts w:ascii="Open Sans" w:hAnsi="Open Sans"/>
        </w:rPr>
      </w:pPr>
    </w:p>
    <w:p w14:paraId="1951DC4E" w14:textId="77777777" w:rsidR="00D56DB5" w:rsidRPr="00A33607" w:rsidRDefault="00D56DB5" w:rsidP="00A33607">
      <w:pPr>
        <w:jc w:val="both"/>
        <w:rPr>
          <w:rFonts w:ascii="Open Sans" w:hAnsi="Open Sans"/>
        </w:rPr>
      </w:pPr>
    </w:p>
    <w:p w14:paraId="046B4549" w14:textId="77777777" w:rsidR="00086FE2" w:rsidRDefault="00086FE2" w:rsidP="00086FE2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1F014B0E" w14:textId="12D80602" w:rsidR="00D76D05" w:rsidRDefault="009F6274" w:rsidP="007C7A33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3BF0DE66" w14:textId="70D6D70A" w:rsidR="00DE0DDB" w:rsidRDefault="007C7A33" w:rsidP="00000E9B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  <w:t xml:space="preserve">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  <w:t xml:space="preserve">       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781DF27B" w14:textId="0B69DD62" w:rsidR="00D1248C" w:rsidRPr="00D1248C" w:rsidRDefault="00AD69A3" w:rsidP="00D56DB5">
      <w:pPr>
        <w:pStyle w:val="NormaleWeb"/>
        <w:jc w:val="center"/>
        <w:rPr>
          <w:rFonts w:ascii="Open Sans" w:hAnsi="Open Sans" w:cstheme="minorBidi"/>
          <w:b/>
          <w:sz w:val="32"/>
          <w:szCs w:val="32"/>
          <w:lang w:eastAsia="en-US"/>
        </w:rPr>
      </w:pPr>
      <w:r>
        <w:rPr>
          <w:rFonts w:ascii="Open Sans" w:hAnsi="Open Sans" w:cstheme="minorBidi"/>
          <w:b/>
          <w:sz w:val="32"/>
          <w:szCs w:val="32"/>
          <w:lang w:eastAsia="en-US"/>
        </w:rPr>
        <w:t>Per</w:t>
      </w:r>
      <w:r w:rsidR="00D1248C" w:rsidRPr="00D1248C">
        <w:rPr>
          <w:rFonts w:ascii="Open Sans" w:hAnsi="Open Sans" w:cstheme="minorBidi"/>
          <w:b/>
          <w:sz w:val="32"/>
          <w:szCs w:val="32"/>
          <w:lang w:eastAsia="en-US"/>
        </w:rPr>
        <w:t xml:space="preserve"> Laghezza</w:t>
      </w:r>
      <w:r>
        <w:rPr>
          <w:rFonts w:ascii="Open Sans" w:hAnsi="Open Sans" w:cstheme="minorBidi"/>
          <w:b/>
          <w:sz w:val="32"/>
          <w:szCs w:val="32"/>
          <w:lang w:eastAsia="en-US"/>
        </w:rPr>
        <w:t xml:space="preserve"> </w:t>
      </w:r>
      <w:proofErr w:type="spellStart"/>
      <w:r>
        <w:rPr>
          <w:rFonts w:ascii="Open Sans" w:hAnsi="Open Sans" w:cstheme="minorBidi"/>
          <w:b/>
          <w:sz w:val="32"/>
          <w:szCs w:val="32"/>
          <w:lang w:eastAsia="en-US"/>
        </w:rPr>
        <w:t>Sp</w:t>
      </w:r>
      <w:r w:rsidR="007D173D">
        <w:rPr>
          <w:rFonts w:ascii="Open Sans" w:hAnsi="Open Sans" w:cstheme="minorBidi"/>
          <w:b/>
          <w:sz w:val="32"/>
          <w:szCs w:val="32"/>
          <w:lang w:eastAsia="en-US"/>
        </w:rPr>
        <w:t>A</w:t>
      </w:r>
      <w:proofErr w:type="spellEnd"/>
      <w:r w:rsidR="00D1248C" w:rsidRPr="00D1248C">
        <w:rPr>
          <w:rFonts w:ascii="Open Sans" w:hAnsi="Open Sans" w:cstheme="minorBidi"/>
          <w:b/>
          <w:sz w:val="32"/>
          <w:szCs w:val="32"/>
          <w:lang w:eastAsia="en-US"/>
        </w:rPr>
        <w:t xml:space="preserve"> fatturato più 20%</w:t>
      </w:r>
    </w:p>
    <w:p w14:paraId="5E66BA8A" w14:textId="53A2BDCC" w:rsidR="00FA44D9" w:rsidRDefault="00D56DB5" w:rsidP="00D56DB5">
      <w:pPr>
        <w:pStyle w:val="NormaleWeb"/>
        <w:jc w:val="center"/>
        <w:rPr>
          <w:rFonts w:ascii="Open Sans" w:hAnsi="Open Sans" w:cstheme="minorBidi"/>
          <w:b/>
          <w:sz w:val="32"/>
          <w:szCs w:val="32"/>
          <w:lang w:eastAsia="en-US"/>
        </w:rPr>
      </w:pPr>
      <w:r>
        <w:rPr>
          <w:rFonts w:ascii="Open Sans" w:hAnsi="Open Sans" w:cstheme="minorBidi"/>
          <w:b/>
          <w:sz w:val="32"/>
          <w:szCs w:val="32"/>
          <w:lang w:eastAsia="en-US"/>
        </w:rPr>
        <w:t>Crescono dogana, logistica e trasporti</w:t>
      </w:r>
    </w:p>
    <w:p w14:paraId="333492E3" w14:textId="77777777" w:rsidR="00D56DB5" w:rsidRDefault="008116AE" w:rsidP="00D56DB5">
      <w:pPr>
        <w:pStyle w:val="NormaleWeb"/>
        <w:jc w:val="center"/>
        <w:rPr>
          <w:rFonts w:ascii="Open Sans" w:hAnsi="Open Sans" w:cstheme="minorBidi"/>
          <w:b/>
          <w:sz w:val="20"/>
          <w:szCs w:val="20"/>
          <w:lang w:eastAsia="en-US"/>
        </w:rPr>
      </w:pPr>
      <w:r w:rsidRPr="008116AE">
        <w:rPr>
          <w:rFonts w:ascii="Open Sans" w:hAnsi="Open Sans" w:cstheme="minorBidi"/>
          <w:b/>
          <w:sz w:val="20"/>
          <w:szCs w:val="20"/>
          <w:lang w:eastAsia="en-US"/>
        </w:rPr>
        <w:t xml:space="preserve">Per l’anno in corso prevista un’ulteriore impennata </w:t>
      </w:r>
    </w:p>
    <w:p w14:paraId="3D83CA8C" w14:textId="0A389F9A" w:rsidR="008116AE" w:rsidRPr="00A16730" w:rsidRDefault="008116AE" w:rsidP="00A16730">
      <w:pPr>
        <w:pStyle w:val="NormaleWeb"/>
        <w:jc w:val="center"/>
        <w:rPr>
          <w:rFonts w:ascii="Open Sans" w:hAnsi="Open Sans" w:cstheme="minorBidi"/>
          <w:b/>
          <w:sz w:val="20"/>
          <w:szCs w:val="20"/>
          <w:lang w:eastAsia="en-US"/>
        </w:rPr>
      </w:pPr>
      <w:r w:rsidRPr="008116AE">
        <w:rPr>
          <w:rFonts w:ascii="Open Sans" w:hAnsi="Open Sans" w:cstheme="minorBidi"/>
          <w:b/>
          <w:sz w:val="20"/>
          <w:szCs w:val="20"/>
          <w:lang w:eastAsia="en-US"/>
        </w:rPr>
        <w:t>con forti investimenti sulla divisione logistica</w:t>
      </w:r>
    </w:p>
    <w:p w14:paraId="7EA74828" w14:textId="77777777" w:rsidR="00D56DB5" w:rsidRDefault="00D1248C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Crescita del 20% nel fatturato si</w:t>
      </w:r>
      <w:r w:rsidR="002E170C">
        <w:rPr>
          <w:rStyle w:val="apple-converted-space"/>
          <w:rFonts w:ascii="Open Sans" w:hAnsi="Open Sans" w:cs="Times New Roman"/>
          <w:color w:val="000000"/>
          <w:lang w:eastAsia="it-IT"/>
        </w:rPr>
        <w:t>no a quota 36 milioni, un’EBITDA</w:t>
      </w: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superiore ai 2 milioni a fronte di investimenti per </w:t>
      </w:r>
      <w:r w:rsidR="00A24FCA">
        <w:rPr>
          <w:rStyle w:val="apple-converted-space"/>
          <w:rFonts w:ascii="Open Sans" w:hAnsi="Open Sans" w:cs="Times New Roman"/>
          <w:color w:val="000000"/>
          <w:lang w:eastAsia="it-IT"/>
        </w:rPr>
        <w:t>circa 5</w:t>
      </w: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milioni con incrementi del 27% nelle operazioni doganali, del 18% nella logistica e del 20% nei trasporti camionistici.</w:t>
      </w:r>
      <w:r w:rsidR="00A24FCA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</w:t>
      </w:r>
    </w:p>
    <w:p w14:paraId="7CCB3388" w14:textId="57D5CDA3" w:rsidR="00D1248C" w:rsidRPr="00D56DB5" w:rsidRDefault="00A24FCA" w:rsidP="00D1248C">
      <w:pPr>
        <w:jc w:val="both"/>
        <w:rPr>
          <w:rStyle w:val="apple-converted-space"/>
          <w:rFonts w:ascii="Open Sans" w:hAnsi="Open Sans" w:cs="Times New Roman"/>
          <w:color w:val="000000" w:themeColor="text1"/>
          <w:lang w:eastAsia="it-IT"/>
        </w:rPr>
      </w:pP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 xml:space="preserve">E per l’anno in corso </w:t>
      </w:r>
      <w:r w:rsidR="00AD69A3"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 xml:space="preserve">la società </w:t>
      </w: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spezzin</w:t>
      </w:r>
      <w:r w:rsidR="00AD69A3"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a</w:t>
      </w: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 xml:space="preserve"> prevede un</w:t>
      </w:r>
      <w:r w:rsidR="007D173D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’</w:t>
      </w: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 xml:space="preserve">ulteriore impennata nel fatturato con </w:t>
      </w:r>
      <w:r w:rsidR="00D56DB5"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l’obiettivo</w:t>
      </w: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 xml:space="preserve"> di superare i 45 milioni di euro, grazie a nuovi investimenti per </w:t>
      </w:r>
      <w:r w:rsidR="00D56DB5"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 xml:space="preserve">oltre </w:t>
      </w: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6 milioni concentrati in particolare nel comparto della logistica.</w:t>
      </w:r>
    </w:p>
    <w:p w14:paraId="1A84DD99" w14:textId="76495CD6" w:rsidR="00D1248C" w:rsidRDefault="00D1248C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Questa in sintesi l’anteprima sui dati di bilancio 2021 del</w:t>
      </w:r>
      <w:r w:rsidR="00AD69A3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 </w:t>
      </w: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Laghezza </w:t>
      </w:r>
      <w:r w:rsidR="00D56DB5">
        <w:rPr>
          <w:rStyle w:val="apple-converted-space"/>
          <w:rFonts w:ascii="Open Sans" w:hAnsi="Open Sans" w:cs="Times New Roman"/>
          <w:color w:val="000000"/>
          <w:lang w:eastAsia="it-IT"/>
        </w:rPr>
        <w:t>Sp</w:t>
      </w:r>
      <w:r w:rsidR="001F65E6">
        <w:rPr>
          <w:rStyle w:val="apple-converted-space"/>
          <w:rFonts w:ascii="Open Sans" w:hAnsi="Open Sans" w:cs="Times New Roman"/>
          <w:color w:val="000000"/>
          <w:lang w:eastAsia="it-IT"/>
        </w:rPr>
        <w:t>A</w:t>
      </w:r>
      <w:bookmarkStart w:id="0" w:name="_GoBack"/>
      <w:bookmarkEnd w:id="0"/>
      <w:r w:rsidR="00D56DB5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che,</w:t>
      </w: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nonostante i</w:t>
      </w:r>
      <w:r w:rsidR="00D56DB5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numerosi fattori di incertezza</w:t>
      </w:r>
      <w:r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provocati dalla pandemia, ma anche da un vero e proprio terremoto nei traffici marittimi con ridimensionamento drastico di alcuni settori e crescita record dei noli ad esempio nel mercato container, ha ulteriormente accelerato la sua crescita sia per vie interne che esterne.</w:t>
      </w:r>
    </w:p>
    <w:p w14:paraId="3BA26BDF" w14:textId="77777777" w:rsidR="00D56DB5" w:rsidRDefault="00D56DB5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4C27A269" w14:textId="5A6A98D2" w:rsidR="00CA5BDC" w:rsidRDefault="00CA5BDC" w:rsidP="00D1248C">
      <w:pPr>
        <w:jc w:val="both"/>
        <w:rPr>
          <w:rStyle w:val="apple-converted-space"/>
          <w:rFonts w:ascii="Open Sans" w:hAnsi="Open Sans" w:cs="Times New Roman"/>
          <w:color w:val="000000" w:themeColor="text1"/>
          <w:lang w:eastAsia="it-IT"/>
        </w:rPr>
      </w:pP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“Nessun miracolo o nessuna formula magica – sottolinea Alessandro Laghezza – ma un lavoro di coordinamento quotidiano f</w:t>
      </w:r>
      <w:r w:rsid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ra le var</w:t>
      </w:r>
      <w:r w:rsidR="00AA0562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ie funzioni e anime dell’</w:t>
      </w:r>
      <w:r w:rsid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Azienda</w:t>
      </w:r>
      <w:r w:rsidRPr="00D56DB5">
        <w:rPr>
          <w:rStyle w:val="apple-converted-space"/>
          <w:rFonts w:ascii="Open Sans" w:hAnsi="Open Sans" w:cs="Times New Roman"/>
          <w:color w:val="000000" w:themeColor="text1"/>
          <w:lang w:eastAsia="it-IT"/>
        </w:rPr>
        <w:t>, con l’effetto non solo di favorire una crescita armonica, ma anche di valorizzare, attraverso l’incrocio di professionalità, le competenze e quindi gli standard di servizio offerti e garantiti ai nostri clienti”.</w:t>
      </w:r>
    </w:p>
    <w:p w14:paraId="46759D3C" w14:textId="77777777" w:rsidR="00AA0562" w:rsidRDefault="00AA0562" w:rsidP="00D1248C">
      <w:pPr>
        <w:jc w:val="both"/>
        <w:rPr>
          <w:rStyle w:val="apple-converted-space"/>
          <w:rFonts w:ascii="Open Sans" w:hAnsi="Open Sans" w:cs="Times New Roman"/>
          <w:color w:val="000000" w:themeColor="text1"/>
          <w:lang w:eastAsia="it-IT"/>
        </w:rPr>
      </w:pPr>
    </w:p>
    <w:p w14:paraId="47A0EF55" w14:textId="26E19CF0" w:rsidR="00AA0562" w:rsidRDefault="00AA0562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Gli investimenti effettuati </w:t>
      </w:r>
      <w:r w:rsidR="00E119F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nel 2021 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hanno riguardato tutte le divisioni dell’Azienda. </w:t>
      </w:r>
    </w:p>
    <w:p w14:paraId="7635ED5A" w14:textId="77A580B9" w:rsidR="00D1248C" w:rsidRDefault="00AA0562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A partire dall’acquisizione </w:t>
      </w:r>
      <w:r w:rsidR="00D56DB5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della Levante Srl,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società triestina che opera nell’ambito dei servizi portuali con una spiccata specializzazione nella fornitura di servizi per le operazioni e l’assistenza doganale. L’acqui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sizione di questa società, che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dispone anche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di spazi magazzino all’interno dell’area portuale di Trieste </w:t>
      </w:r>
      <w:r w:rsidR="00D1248C" w:rsidRPr="000D2F7F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(anche in regime di </w:t>
      </w:r>
      <w:r w:rsidR="00030DA6" w:rsidRPr="000D2F7F">
        <w:rPr>
          <w:rStyle w:val="apple-converted-space"/>
          <w:rFonts w:ascii="Open Sans" w:hAnsi="Open Sans" w:cs="Times New Roman"/>
          <w:color w:val="000000"/>
          <w:lang w:eastAsia="it-IT"/>
        </w:rPr>
        <w:t>zona franca)</w:t>
      </w:r>
      <w:r w:rsidR="00D1248C" w:rsidRPr="000D2F7F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, segna un ulteriore consolidamento nella strategia di sviluppo territoriale in Italia, </w:t>
      </w:r>
      <w:r w:rsidR="00E119F9">
        <w:rPr>
          <w:rStyle w:val="apple-converted-space"/>
          <w:rFonts w:ascii="Open Sans" w:hAnsi="Open Sans" w:cs="Times New Roman"/>
          <w:color w:val="000000"/>
          <w:lang w:eastAsia="it-IT"/>
        </w:rPr>
        <w:t>dove L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aghezza </w:t>
      </w:r>
      <w:proofErr w:type="spellStart"/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è presente con 16</w:t>
      </w:r>
      <w:r w:rsidR="00A16730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filiali dedicate all’assistenza doganale e dislocate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in nodi strateg</w:t>
      </w:r>
      <w:r w:rsidR="00D56DB5">
        <w:rPr>
          <w:rStyle w:val="apple-converted-space"/>
          <w:rFonts w:ascii="Open Sans" w:hAnsi="Open Sans" w:cs="Times New Roman"/>
          <w:color w:val="000000"/>
          <w:lang w:eastAsia="it-IT"/>
        </w:rPr>
        <w:t>ici per la logistica nazionale (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>porti, interporti, aeroporti</w:t>
      </w:r>
      <w:r w:rsidR="00A16730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). </w:t>
      </w:r>
    </w:p>
    <w:p w14:paraId="360ECD94" w14:textId="77777777" w:rsidR="00D56DB5" w:rsidRDefault="00D56DB5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73970E8E" w14:textId="73096222" w:rsidR="00D1248C" w:rsidRPr="00030DA6" w:rsidRDefault="00D56DB5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>
        <w:rPr>
          <w:rStyle w:val="apple-converted-space"/>
          <w:rFonts w:ascii="Open Sans" w:hAnsi="Open Sans" w:cs="Times New Roman"/>
          <w:color w:val="000000"/>
          <w:lang w:eastAsia="it-IT"/>
        </w:rPr>
        <w:lastRenderedPageBreak/>
        <w:t xml:space="preserve">Al centro dell’operatività </w:t>
      </w:r>
      <w:r w:rsidR="00A16730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rimane la Sede Centrale di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La Spezia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>,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dove 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in primavera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è stata inaugurata la 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>“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Torre di c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>ontrollo”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dedicata ai serv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>i</w:t>
      </w:r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zi doganali della Laghezza </w:t>
      </w:r>
      <w:proofErr w:type="spellStart"/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, 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che opera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in </w:t>
      </w:r>
      <w:r w:rsidR="00E119F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costante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connessione digita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>le con il network delle filiali</w:t>
      </w:r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in Italia.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Si è investito </w:t>
      </w:r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>contestualmente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in un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rinnovato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sistema informatico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>,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>con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l’obiettivo di implementare l’interscambio di informazioni con i 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>c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li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enti e con le filiali operative e </w:t>
      </w:r>
      <w:r w:rsidR="00452AA6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di raggiungere una completa digitalizza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zione delle attività aziendali. </w:t>
      </w:r>
    </w:p>
    <w:p w14:paraId="051645F7" w14:textId="77777777" w:rsidR="00D1248C" w:rsidRPr="00030DA6" w:rsidRDefault="00D1248C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47E3A91D" w14:textId="403EDAF4" w:rsidR="00D1248C" w:rsidRDefault="00030DA6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>
        <w:rPr>
          <w:rStyle w:val="apple-converted-space"/>
          <w:rFonts w:ascii="Open Sans" w:hAnsi="Open Sans" w:cs="Times New Roman"/>
          <w:color w:val="000000"/>
          <w:lang w:eastAsia="it-IT"/>
        </w:rPr>
        <w:t>“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>Questo investimento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– </w:t>
      </w:r>
      <w:r w:rsidR="00AD69A3">
        <w:rPr>
          <w:rStyle w:val="apple-converted-space"/>
          <w:rFonts w:ascii="Open Sans" w:hAnsi="Open Sans" w:cs="Times New Roman"/>
          <w:color w:val="000000"/>
          <w:lang w:eastAsia="it-IT"/>
        </w:rPr>
        <w:t>ribadisce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Alessandro Laghezza – rappresenta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il fulcro della nostra strategia</w:t>
      </w:r>
      <w:r w:rsidR="0070131E">
        <w:rPr>
          <w:rStyle w:val="apple-converted-space"/>
          <w:rFonts w:ascii="Open Sans" w:hAnsi="Open Sans" w:cs="Times New Roman"/>
          <w:color w:val="000000"/>
          <w:lang w:eastAsia="it-IT"/>
        </w:rPr>
        <w:t>,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basata su un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>’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espansione controllata </w:t>
      </w:r>
      <w:r w:rsidR="00BA0055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e un mantenimento </w:t>
      </w:r>
      <w:r w:rsidR="00E119F9">
        <w:rPr>
          <w:rStyle w:val="apple-converted-space"/>
          <w:rFonts w:ascii="Open Sans" w:hAnsi="Open Sans" w:cs="Times New Roman"/>
          <w:color w:val="000000"/>
          <w:lang w:eastAsia="it-IT"/>
        </w:rPr>
        <w:t>ina</w:t>
      </w:r>
      <w:r w:rsidR="00452AA6">
        <w:rPr>
          <w:rStyle w:val="apple-converted-space"/>
          <w:rFonts w:ascii="Open Sans" w:hAnsi="Open Sans" w:cs="Times New Roman"/>
          <w:color w:val="000000"/>
          <w:lang w:eastAsia="it-IT"/>
        </w:rPr>
        <w:t>l</w:t>
      </w:r>
      <w:r w:rsidR="00E119F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terato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dell’efficienza e della qualità dei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servizi </w:t>
      </w:r>
      <w:r w:rsidR="00BA0055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offerti 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>alla nostra clientela</w:t>
      </w:r>
      <w:r w:rsidR="000D2F7F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. </w:t>
      </w:r>
      <w:r w:rsidR="000D2F7F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 Business Unit Dogana della Laghezza </w:t>
      </w:r>
      <w:proofErr w:type="spellStart"/>
      <w:r w:rsidR="000D2F7F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="000D2F7F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</w:t>
      </w:r>
      <w:r w:rsidR="000D2F7F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continua a </w:t>
      </w:r>
      <w:r w:rsidR="000D2F7F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rappresenta</w:t>
      </w:r>
      <w:r w:rsidR="000D2F7F">
        <w:rPr>
          <w:rStyle w:val="apple-converted-space"/>
          <w:rFonts w:ascii="Open Sans" w:hAnsi="Open Sans" w:cs="Times New Roman"/>
          <w:color w:val="000000"/>
          <w:lang w:eastAsia="it-IT"/>
        </w:rPr>
        <w:t>re</w:t>
      </w:r>
      <w:r w:rsidR="000D2F7F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il core business dell’</w:t>
      </w:r>
      <w:r w:rsidR="000D2F7F">
        <w:rPr>
          <w:rStyle w:val="apple-converted-space"/>
          <w:rFonts w:ascii="Open Sans" w:hAnsi="Open Sans" w:cs="Times New Roman"/>
          <w:color w:val="000000"/>
          <w:lang w:eastAsia="it-IT"/>
        </w:rPr>
        <w:t>a</w:t>
      </w:r>
      <w:r w:rsidR="000D2F7F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zienda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>”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.</w:t>
      </w:r>
    </w:p>
    <w:p w14:paraId="0B3C3C79" w14:textId="77777777" w:rsidR="00D56DB5" w:rsidRPr="00030DA6" w:rsidRDefault="00D56DB5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1D13EF7A" w14:textId="10DA5443" w:rsidR="00D1248C" w:rsidRPr="00030DA6" w:rsidRDefault="000D2F7F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0D2F7F">
        <w:rPr>
          <w:rStyle w:val="apple-converted-space"/>
          <w:rFonts w:ascii="Open Sans" w:hAnsi="Open Sans" w:cs="Times New Roman"/>
          <w:color w:val="000000"/>
          <w:lang w:eastAsia="it-IT"/>
        </w:rPr>
        <w:t>Fra i fatti salienti del 2021 figura anche l’entrata i</w:t>
      </w:r>
      <w:r w:rsidR="00030DA6" w:rsidRPr="000D2F7F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n servizio 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>del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terzo polo logistico della Laghezza </w:t>
      </w:r>
      <w:proofErr w:type="spellStart"/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a cornice del porto di La Spezia, dedicato ai prodotti siderurgici e Project cargo.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Con un’area di 10.000 metri quadri di cui 2.000 coperti il nuovo Terminal ha superato la fase di start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>-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up ed è ora pienamente operativo. Il Terminal </w:t>
      </w:r>
      <w:r w:rsid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3 affianca e integra i servizi 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>degli altri due poli logistici, ovvero il Terminal 1 sito nell’area retroportuale di Santo Stefano di Magra, che si estende per 20.000 metri quadri di cui 10.800 coperti e il Terminal 2 che conta 7000 metri quadri dedicati allo stoccaggio de</w:t>
      </w:r>
      <w:r w:rsidR="00BA0055">
        <w:rPr>
          <w:rStyle w:val="apple-converted-space"/>
          <w:rFonts w:ascii="Open Sans" w:hAnsi="Open Sans" w:cs="Times New Roman"/>
          <w:color w:val="000000"/>
          <w:lang w:eastAsia="it-IT"/>
        </w:rPr>
        <w:t>lla merce e a servizi accessori.</w:t>
      </w:r>
    </w:p>
    <w:p w14:paraId="3AC53B64" w14:textId="77777777" w:rsidR="00BA0055" w:rsidRDefault="00BA0055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20D6DC23" w14:textId="1D7A836F" w:rsidR="00D1248C" w:rsidRPr="00030DA6" w:rsidRDefault="00BA0055" w:rsidP="00D1248C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>
        <w:rPr>
          <w:rStyle w:val="apple-converted-space"/>
          <w:rFonts w:ascii="Open Sans" w:hAnsi="Open Sans" w:cs="Times New Roman"/>
          <w:color w:val="000000"/>
          <w:lang w:eastAsia="it-IT"/>
        </w:rPr>
        <w:t>Le tre</w:t>
      </w:r>
      <w:r w:rsidR="00D1248C" w:rsidRPr="00030DA6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divisioni del</w:t>
      </w:r>
      <w:r w:rsidR="009758C8">
        <w:rPr>
          <w:rStyle w:val="apple-converted-space"/>
          <w:rFonts w:ascii="Open Sans" w:hAnsi="Open Sans" w:cs="Times New Roman"/>
          <w:color w:val="000000"/>
          <w:lang w:eastAsia="it-IT"/>
        </w:rPr>
        <w:t>la L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aghezza </w:t>
      </w:r>
      <w:proofErr w:type="spellStart"/>
      <w:r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sono cresciute in modo armo</w:t>
      </w:r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>nico. Nell’ambito delle operazioni doganali si è registrato u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n incremento del 27% </w:t>
      </w:r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rispetto 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alle circa 250.000 dell’anno precedente, una crescita del </w:t>
      </w:r>
      <w:r w:rsidR="00916E29">
        <w:rPr>
          <w:rStyle w:val="apple-converted-space"/>
          <w:rFonts w:ascii="Open Sans" w:hAnsi="Open Sans" w:cs="Times New Roman"/>
          <w:color w:val="000000"/>
          <w:lang w:eastAsia="it-IT"/>
        </w:rPr>
        <w:t>18% nelle attività di logistica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rispetto ai 15.000 TEUS movimentati </w:t>
      </w:r>
      <w:r w:rsidR="00E119F9">
        <w:rPr>
          <w:rStyle w:val="apple-converted-space"/>
          <w:rFonts w:ascii="Open Sans" w:hAnsi="Open Sans" w:cs="Times New Roman"/>
          <w:color w:val="000000"/>
          <w:lang w:eastAsia="it-IT"/>
        </w:rPr>
        <w:t>nel 2020</w:t>
      </w:r>
      <w:r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ed un incremento del 20% rispetto ai 50.000 viaggi effettuati dalla divisione trasporti l’anno precedente.</w:t>
      </w:r>
    </w:p>
    <w:p w14:paraId="6DC7E2C2" w14:textId="77777777" w:rsidR="00D1248C" w:rsidRPr="00D1248C" w:rsidRDefault="00D1248C" w:rsidP="00D1248C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</w:p>
    <w:p w14:paraId="28532796" w14:textId="77777777" w:rsidR="00D1248C" w:rsidRPr="00D1248C" w:rsidRDefault="00D1248C" w:rsidP="00D1248C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</w:p>
    <w:p w14:paraId="55D1E744" w14:textId="77777777" w:rsidR="00E0511F" w:rsidRDefault="00E0511F" w:rsidP="00E0511F">
      <w:pPr>
        <w:jc w:val="both"/>
        <w:rPr>
          <w:rStyle w:val="Enfasigrassetto"/>
          <w:rFonts w:ascii="Open Sans" w:hAnsi="Open Sans"/>
          <w:color w:val="000000"/>
        </w:rPr>
      </w:pPr>
    </w:p>
    <w:p w14:paraId="70A1FD8F" w14:textId="77777777" w:rsidR="00E0511F" w:rsidRDefault="00E0511F" w:rsidP="00E0511F">
      <w:pPr>
        <w:jc w:val="both"/>
        <w:rPr>
          <w:rFonts w:ascii="Open Sans" w:hAnsi="Open Sans"/>
        </w:rPr>
      </w:pPr>
    </w:p>
    <w:p w14:paraId="214EECCA" w14:textId="310064AB" w:rsidR="003146F2" w:rsidRPr="00000E9B" w:rsidRDefault="003146F2" w:rsidP="00924B9E">
      <w:pPr>
        <w:jc w:val="both"/>
        <w:rPr>
          <w:rFonts w:ascii="Open Sans" w:hAnsi="Open Sans"/>
          <w:sz w:val="22"/>
          <w:szCs w:val="22"/>
        </w:rPr>
      </w:pPr>
      <w:r w:rsidRPr="00000E9B">
        <w:rPr>
          <w:rFonts w:ascii="Open Sans" w:hAnsi="Open Sans"/>
          <w:sz w:val="22"/>
          <w:szCs w:val="22"/>
        </w:rPr>
        <w:t>La Spezia</w:t>
      </w:r>
      <w:r w:rsidR="00086FE2" w:rsidRPr="00000E9B">
        <w:rPr>
          <w:rFonts w:ascii="Open Sans" w:hAnsi="Open Sans"/>
          <w:sz w:val="22"/>
          <w:szCs w:val="22"/>
        </w:rPr>
        <w:t xml:space="preserve">, </w:t>
      </w:r>
      <w:r w:rsidR="007D173D">
        <w:rPr>
          <w:rFonts w:ascii="Open Sans" w:hAnsi="Open Sans"/>
          <w:sz w:val="22"/>
          <w:szCs w:val="22"/>
        </w:rPr>
        <w:t>15</w:t>
      </w:r>
      <w:r w:rsidR="00FA44D9">
        <w:rPr>
          <w:rFonts w:ascii="Open Sans" w:hAnsi="Open Sans"/>
          <w:sz w:val="22"/>
          <w:szCs w:val="22"/>
        </w:rPr>
        <w:t xml:space="preserve"> </w:t>
      </w:r>
      <w:r w:rsidR="00D1248C">
        <w:rPr>
          <w:rFonts w:ascii="Open Sans" w:hAnsi="Open Sans"/>
          <w:sz w:val="22"/>
          <w:szCs w:val="22"/>
        </w:rPr>
        <w:t>febbraio</w:t>
      </w:r>
      <w:r w:rsidR="00086FE2" w:rsidRPr="00000E9B">
        <w:rPr>
          <w:rFonts w:ascii="Open Sans" w:hAnsi="Open Sans"/>
          <w:sz w:val="22"/>
          <w:szCs w:val="22"/>
        </w:rPr>
        <w:t xml:space="preserve"> 202</w:t>
      </w:r>
      <w:r w:rsidR="00D1248C">
        <w:rPr>
          <w:rFonts w:ascii="Open Sans" w:hAnsi="Open Sans"/>
          <w:sz w:val="22"/>
          <w:szCs w:val="22"/>
        </w:rPr>
        <w:t>2</w:t>
      </w:r>
    </w:p>
    <w:p w14:paraId="67407556" w14:textId="0EF7652B" w:rsidR="003146F2" w:rsidRDefault="003146F2" w:rsidP="00924B9E">
      <w:pPr>
        <w:jc w:val="both"/>
        <w:rPr>
          <w:rFonts w:ascii="Open Sans" w:hAnsi="Open Sans"/>
        </w:rPr>
      </w:pPr>
    </w:p>
    <w:p w14:paraId="4EDA24C3" w14:textId="77777777" w:rsidR="009C0945" w:rsidRDefault="009C0945" w:rsidP="00924B9E">
      <w:pPr>
        <w:jc w:val="both"/>
        <w:rPr>
          <w:rFonts w:ascii="Open Sans" w:hAnsi="Open Sans"/>
        </w:rPr>
      </w:pPr>
    </w:p>
    <w:p w14:paraId="754C311F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7057BD5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 xml:space="preserve">Barbara </w:t>
      </w:r>
      <w:proofErr w:type="spellStart"/>
      <w:r w:rsidRPr="00376884">
        <w:rPr>
          <w:rStyle w:val="normaltextrun"/>
          <w:color w:val="222222"/>
          <w:szCs w:val="22"/>
          <w:lang w:val="it-IT"/>
        </w:rPr>
        <w:t>Gazzale</w:t>
      </w:r>
      <w:proofErr w:type="spellEnd"/>
      <w:r w:rsidRPr="00376884">
        <w:rPr>
          <w:rStyle w:val="eop"/>
          <w:szCs w:val="22"/>
        </w:rPr>
        <w:t> </w:t>
      </w:r>
    </w:p>
    <w:p w14:paraId="505BEDC5" w14:textId="3294492B" w:rsidR="00E91581" w:rsidRPr="00000E9B" w:rsidRDefault="009C0945" w:rsidP="00000E9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sectPr w:rsidR="00E91581" w:rsidRPr="00000E9B" w:rsidSect="00171B4F">
      <w:headerReference w:type="default" r:id="rId6"/>
      <w:footerReference w:type="default" r:id="rId7"/>
      <w:pgSz w:w="11901" w:h="16817"/>
      <w:pgMar w:top="2438" w:right="1134" w:bottom="187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49AB6" w14:textId="77777777" w:rsidR="00426682" w:rsidRDefault="00426682" w:rsidP="00005F69">
      <w:r>
        <w:separator/>
      </w:r>
    </w:p>
  </w:endnote>
  <w:endnote w:type="continuationSeparator" w:id="0">
    <w:p w14:paraId="1C3EDE33" w14:textId="77777777" w:rsidR="00426682" w:rsidRDefault="00426682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2E0B3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Laghezza S.p.a.</w:t>
    </w:r>
  </w:p>
  <w:p w14:paraId="3FA3112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6DD54AF2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Viale San Bartolomeo, 103 – 19126 La Spezia</w:t>
    </w:r>
  </w:p>
  <w:p w14:paraId="2AA920F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Phone (+39) 0187 5971 – </w:t>
    </w:r>
    <w:hyperlink r:id="rId1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 w:rsidRPr="00525D5A">
      <w:rPr>
        <w:rFonts w:ascii="Open Sans" w:hAnsi="Open Sans"/>
        <w:sz w:val="18"/>
        <w:szCs w:val="18"/>
      </w:rPr>
      <w:t xml:space="preserve"> - </w:t>
    </w:r>
    <w:hyperlink r:id="rId2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  <w:p w14:paraId="3561C7A5" w14:textId="77777777" w:rsidR="00005F69" w:rsidRPr="00525D5A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B79F1" w14:textId="77777777" w:rsidR="00426682" w:rsidRDefault="00426682" w:rsidP="00005F69">
      <w:r>
        <w:separator/>
      </w:r>
    </w:p>
  </w:footnote>
  <w:footnote w:type="continuationSeparator" w:id="0">
    <w:p w14:paraId="410E87E0" w14:textId="77777777" w:rsidR="00426682" w:rsidRDefault="00426682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B48A6" w14:textId="77777777" w:rsidR="00005F69" w:rsidRDefault="00005F69">
    <w:pPr>
      <w:pStyle w:val="Intestazione"/>
    </w:pPr>
    <w:r>
      <w:rPr>
        <w:noProof/>
        <w:lang w:val="it-CH" w:eastAsia="it-CH"/>
      </w:rPr>
      <w:drawing>
        <wp:inline distT="0" distB="0" distL="0" distR="0" wp14:anchorId="7BBFFA89" wp14:editId="4B936A04">
          <wp:extent cx="1459919" cy="927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71" cy="9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69"/>
    <w:rsid w:val="00000E9B"/>
    <w:rsid w:val="00005F69"/>
    <w:rsid w:val="00027634"/>
    <w:rsid w:val="00030DA6"/>
    <w:rsid w:val="000337BF"/>
    <w:rsid w:val="00055618"/>
    <w:rsid w:val="0008520E"/>
    <w:rsid w:val="00086FE2"/>
    <w:rsid w:val="000A7AE9"/>
    <w:rsid w:val="000B0953"/>
    <w:rsid w:val="000D2F7F"/>
    <w:rsid w:val="001159BA"/>
    <w:rsid w:val="00121E1D"/>
    <w:rsid w:val="00132A1F"/>
    <w:rsid w:val="00137706"/>
    <w:rsid w:val="00143C29"/>
    <w:rsid w:val="0015106F"/>
    <w:rsid w:val="001666E1"/>
    <w:rsid w:val="00167158"/>
    <w:rsid w:val="00171B4F"/>
    <w:rsid w:val="001A69DD"/>
    <w:rsid w:val="001E44BC"/>
    <w:rsid w:val="001F023D"/>
    <w:rsid w:val="001F65E6"/>
    <w:rsid w:val="00204C31"/>
    <w:rsid w:val="00243CC7"/>
    <w:rsid w:val="00255FDF"/>
    <w:rsid w:val="00270272"/>
    <w:rsid w:val="002A48C1"/>
    <w:rsid w:val="002B7112"/>
    <w:rsid w:val="002D494F"/>
    <w:rsid w:val="002E170C"/>
    <w:rsid w:val="002F55BE"/>
    <w:rsid w:val="00306686"/>
    <w:rsid w:val="0031465F"/>
    <w:rsid w:val="003146F2"/>
    <w:rsid w:val="00343F1C"/>
    <w:rsid w:val="00353FE1"/>
    <w:rsid w:val="00374EF0"/>
    <w:rsid w:val="003829A9"/>
    <w:rsid w:val="003947A5"/>
    <w:rsid w:val="003A2B49"/>
    <w:rsid w:val="003B18E4"/>
    <w:rsid w:val="003F4235"/>
    <w:rsid w:val="004014AC"/>
    <w:rsid w:val="0040261C"/>
    <w:rsid w:val="00426682"/>
    <w:rsid w:val="004425E7"/>
    <w:rsid w:val="00452AA6"/>
    <w:rsid w:val="0045627C"/>
    <w:rsid w:val="00465D08"/>
    <w:rsid w:val="004809A8"/>
    <w:rsid w:val="00485ED0"/>
    <w:rsid w:val="004A4692"/>
    <w:rsid w:val="004A68C5"/>
    <w:rsid w:val="004A7D77"/>
    <w:rsid w:val="004C2228"/>
    <w:rsid w:val="00525D5A"/>
    <w:rsid w:val="00554E80"/>
    <w:rsid w:val="00561F76"/>
    <w:rsid w:val="005730C4"/>
    <w:rsid w:val="005C6BBD"/>
    <w:rsid w:val="005D3BFF"/>
    <w:rsid w:val="005E4AC0"/>
    <w:rsid w:val="00696972"/>
    <w:rsid w:val="006D5E96"/>
    <w:rsid w:val="006E2DDB"/>
    <w:rsid w:val="0070131E"/>
    <w:rsid w:val="007109D7"/>
    <w:rsid w:val="00716634"/>
    <w:rsid w:val="0072690C"/>
    <w:rsid w:val="00730413"/>
    <w:rsid w:val="00736BEB"/>
    <w:rsid w:val="00743129"/>
    <w:rsid w:val="0078783E"/>
    <w:rsid w:val="00794E72"/>
    <w:rsid w:val="00795435"/>
    <w:rsid w:val="007C7A33"/>
    <w:rsid w:val="007D173D"/>
    <w:rsid w:val="007D298F"/>
    <w:rsid w:val="008116AE"/>
    <w:rsid w:val="00814245"/>
    <w:rsid w:val="00824AEB"/>
    <w:rsid w:val="00827C88"/>
    <w:rsid w:val="008408B1"/>
    <w:rsid w:val="00870936"/>
    <w:rsid w:val="008721F5"/>
    <w:rsid w:val="008A100F"/>
    <w:rsid w:val="008A605A"/>
    <w:rsid w:val="008D0370"/>
    <w:rsid w:val="008D0C0A"/>
    <w:rsid w:val="00916E29"/>
    <w:rsid w:val="00924B9E"/>
    <w:rsid w:val="009577B9"/>
    <w:rsid w:val="00963290"/>
    <w:rsid w:val="009678FF"/>
    <w:rsid w:val="009758C8"/>
    <w:rsid w:val="0098532D"/>
    <w:rsid w:val="009C0945"/>
    <w:rsid w:val="009C159D"/>
    <w:rsid w:val="009D0DB4"/>
    <w:rsid w:val="009D2C3C"/>
    <w:rsid w:val="009E6DB4"/>
    <w:rsid w:val="009F353F"/>
    <w:rsid w:val="009F3C53"/>
    <w:rsid w:val="009F6274"/>
    <w:rsid w:val="00A071A0"/>
    <w:rsid w:val="00A16730"/>
    <w:rsid w:val="00A24FCA"/>
    <w:rsid w:val="00A26067"/>
    <w:rsid w:val="00A33607"/>
    <w:rsid w:val="00A37AA6"/>
    <w:rsid w:val="00A57D8B"/>
    <w:rsid w:val="00A76FA4"/>
    <w:rsid w:val="00AA0562"/>
    <w:rsid w:val="00AB3507"/>
    <w:rsid w:val="00AD2AC6"/>
    <w:rsid w:val="00AD69A3"/>
    <w:rsid w:val="00AE10EF"/>
    <w:rsid w:val="00AF1D54"/>
    <w:rsid w:val="00B23502"/>
    <w:rsid w:val="00B5068C"/>
    <w:rsid w:val="00B97C59"/>
    <w:rsid w:val="00BA0055"/>
    <w:rsid w:val="00BA4C69"/>
    <w:rsid w:val="00BC26E7"/>
    <w:rsid w:val="00C06238"/>
    <w:rsid w:val="00C078D3"/>
    <w:rsid w:val="00C1642F"/>
    <w:rsid w:val="00C3556D"/>
    <w:rsid w:val="00C560CA"/>
    <w:rsid w:val="00C869A2"/>
    <w:rsid w:val="00C92969"/>
    <w:rsid w:val="00C966AE"/>
    <w:rsid w:val="00CA5BDC"/>
    <w:rsid w:val="00CC3E09"/>
    <w:rsid w:val="00CC72CD"/>
    <w:rsid w:val="00CE2ECD"/>
    <w:rsid w:val="00D1248C"/>
    <w:rsid w:val="00D141B3"/>
    <w:rsid w:val="00D56DB5"/>
    <w:rsid w:val="00D60CF0"/>
    <w:rsid w:val="00D6134D"/>
    <w:rsid w:val="00D76D05"/>
    <w:rsid w:val="00D9556B"/>
    <w:rsid w:val="00DA1A58"/>
    <w:rsid w:val="00DC169C"/>
    <w:rsid w:val="00DE0DDB"/>
    <w:rsid w:val="00E0511F"/>
    <w:rsid w:val="00E10BC2"/>
    <w:rsid w:val="00E119F9"/>
    <w:rsid w:val="00E252E9"/>
    <w:rsid w:val="00E86CEC"/>
    <w:rsid w:val="00E91581"/>
    <w:rsid w:val="00EA3D60"/>
    <w:rsid w:val="00EC02C7"/>
    <w:rsid w:val="00EC241F"/>
    <w:rsid w:val="00EC4589"/>
    <w:rsid w:val="00ED44C8"/>
    <w:rsid w:val="00EE23B6"/>
    <w:rsid w:val="00EF5D1E"/>
    <w:rsid w:val="00F11CF3"/>
    <w:rsid w:val="00F20D56"/>
    <w:rsid w:val="00F315BA"/>
    <w:rsid w:val="00F37839"/>
    <w:rsid w:val="00F53A3A"/>
    <w:rsid w:val="00F5766F"/>
    <w:rsid w:val="00F83D94"/>
    <w:rsid w:val="00FA44D9"/>
    <w:rsid w:val="00FB1F11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C18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4B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paragraph" w:customStyle="1" w:styleId="paragraph">
    <w:name w:val="paragraph"/>
    <w:basedOn w:val="Normale"/>
    <w:rsid w:val="009C09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9C0945"/>
  </w:style>
  <w:style w:type="character" w:customStyle="1" w:styleId="normaltextrun">
    <w:name w:val="normaltextrun"/>
    <w:rsid w:val="009C0945"/>
  </w:style>
  <w:style w:type="character" w:styleId="Enfasicorsivo">
    <w:name w:val="Emphasis"/>
    <w:uiPriority w:val="20"/>
    <w:qFormat/>
    <w:rsid w:val="00E0511F"/>
    <w:rPr>
      <w:i/>
      <w:iCs/>
    </w:rPr>
  </w:style>
  <w:style w:type="paragraph" w:customStyle="1" w:styleId="04xlpa">
    <w:name w:val="04xlpa"/>
    <w:basedOn w:val="Normale"/>
    <w:rsid w:val="00E0511F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4</cp:revision>
  <cp:lastPrinted>2020-05-21T09:54:00Z</cp:lastPrinted>
  <dcterms:created xsi:type="dcterms:W3CDTF">2022-02-14T14:51:00Z</dcterms:created>
  <dcterms:modified xsi:type="dcterms:W3CDTF">2022-02-14T17:15:00Z</dcterms:modified>
</cp:coreProperties>
</file>