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3F199" w14:textId="791B1FDD" w:rsidR="00AE61A2" w:rsidRDefault="00AE61A2" w:rsidP="00AE61A2">
      <w:pPr>
        <w:jc w:val="center"/>
        <w:rPr>
          <w:rFonts w:ascii="IBM Plex Sans" w:eastAsia="Times New Roman" w:hAnsi="IBM Plex Sans" w:cs="Open Sans"/>
          <w:sz w:val="22"/>
          <w:szCs w:val="22"/>
          <w:lang w:eastAsia="it-IT"/>
        </w:rPr>
      </w:pPr>
      <w:r>
        <w:rPr>
          <w:rFonts w:ascii="IBM Plex Sans" w:eastAsia="Times New Roman" w:hAnsi="IBM Plex Sans" w:cs="Open Sans"/>
          <w:sz w:val="22"/>
          <w:szCs w:val="22"/>
          <w:lang w:eastAsia="it-IT"/>
        </w:rPr>
        <w:t>COMUNICATO STAMPA</w:t>
      </w:r>
    </w:p>
    <w:p w14:paraId="06EA607F" w14:textId="77777777" w:rsidR="00D1585C" w:rsidRDefault="00D1585C" w:rsidP="00D1585C">
      <w:pPr>
        <w:jc w:val="center"/>
        <w:rPr>
          <w:rFonts w:ascii="IBM Plex Sans" w:eastAsia="Times New Roman" w:hAnsi="IBM Plex Sans" w:cs="Open Sans"/>
          <w:b/>
          <w:bCs/>
          <w:sz w:val="28"/>
          <w:szCs w:val="28"/>
          <w:lang w:eastAsia="it-IT"/>
        </w:rPr>
      </w:pPr>
    </w:p>
    <w:p w14:paraId="413334A4" w14:textId="77777777" w:rsidR="00D1585C" w:rsidRDefault="00D1585C" w:rsidP="00D1585C">
      <w:pPr>
        <w:jc w:val="center"/>
        <w:rPr>
          <w:rFonts w:ascii="IBM Plex Sans" w:eastAsia="Times New Roman" w:hAnsi="IBM Plex Sans" w:cs="Open Sans"/>
          <w:b/>
          <w:bCs/>
          <w:sz w:val="28"/>
          <w:szCs w:val="28"/>
          <w:lang w:eastAsia="it-IT"/>
        </w:rPr>
      </w:pPr>
    </w:p>
    <w:p w14:paraId="6F80A6CA" w14:textId="1D8E55DE" w:rsidR="00794F1C" w:rsidRPr="0057374E" w:rsidRDefault="0057374E" w:rsidP="0057374E">
      <w:pPr>
        <w:spacing w:line="276" w:lineRule="auto"/>
        <w:jc w:val="center"/>
        <w:rPr>
          <w:rFonts w:ascii="IBM Plex Sans" w:eastAsia="Times New Roman" w:hAnsi="IBM Plex Sans" w:cs="Open Sans"/>
          <w:b/>
          <w:bCs/>
          <w:sz w:val="36"/>
          <w:szCs w:val="36"/>
          <w:lang w:eastAsia="it-IT"/>
        </w:rPr>
      </w:pPr>
      <w:r w:rsidRPr="0057374E">
        <w:rPr>
          <w:rFonts w:ascii="IBM Plex Sans" w:eastAsia="Times New Roman" w:hAnsi="IBM Plex Sans" w:cs="Open Sans"/>
          <w:b/>
          <w:bCs/>
          <w:sz w:val="36"/>
          <w:szCs w:val="36"/>
          <w:lang w:eastAsia="it-IT"/>
        </w:rPr>
        <w:t>La Ignazio Messina</w:t>
      </w:r>
      <w:r w:rsidR="00013194">
        <w:rPr>
          <w:rFonts w:ascii="IBM Plex Sans" w:eastAsia="Times New Roman" w:hAnsi="IBM Plex Sans" w:cs="Open Sans"/>
          <w:b/>
          <w:bCs/>
          <w:sz w:val="36"/>
          <w:szCs w:val="36"/>
          <w:lang w:eastAsia="it-IT"/>
        </w:rPr>
        <w:t xml:space="preserve"> &amp; C. </w:t>
      </w:r>
      <w:r w:rsidRPr="0057374E">
        <w:rPr>
          <w:rFonts w:ascii="IBM Plex Sans" w:eastAsia="Times New Roman" w:hAnsi="IBM Plex Sans" w:cs="Open Sans"/>
          <w:b/>
          <w:bCs/>
          <w:sz w:val="36"/>
          <w:szCs w:val="36"/>
          <w:lang w:eastAsia="it-IT"/>
        </w:rPr>
        <w:t>di Genova</w:t>
      </w:r>
    </w:p>
    <w:p w14:paraId="5142219C" w14:textId="0ACE2250" w:rsidR="0057374E" w:rsidRPr="0057374E" w:rsidRDefault="0057374E" w:rsidP="006064CE">
      <w:pPr>
        <w:spacing w:line="360" w:lineRule="auto"/>
        <w:jc w:val="center"/>
        <w:rPr>
          <w:rFonts w:ascii="IBM Plex Sans" w:eastAsia="Times New Roman" w:hAnsi="IBM Plex Sans" w:cs="Open Sans"/>
          <w:b/>
          <w:bCs/>
          <w:sz w:val="36"/>
          <w:szCs w:val="36"/>
          <w:lang w:eastAsia="it-IT"/>
        </w:rPr>
      </w:pPr>
      <w:r w:rsidRPr="0057374E">
        <w:rPr>
          <w:rFonts w:ascii="IBM Plex Sans" w:eastAsia="Times New Roman" w:hAnsi="IBM Plex Sans" w:cs="Open Sans"/>
          <w:b/>
          <w:bCs/>
          <w:sz w:val="36"/>
          <w:szCs w:val="36"/>
          <w:lang w:eastAsia="it-IT"/>
        </w:rPr>
        <w:t>acquista il 100% di Thermocar</w:t>
      </w:r>
    </w:p>
    <w:p w14:paraId="33024759" w14:textId="77777777" w:rsidR="00D1585C" w:rsidRDefault="00D1585C" w:rsidP="00D1585C">
      <w:pPr>
        <w:jc w:val="center"/>
        <w:rPr>
          <w:rFonts w:ascii="IBM Plex Sans" w:eastAsia="Times New Roman" w:hAnsi="IBM Plex Sans" w:cs="Open Sans"/>
          <w:b/>
          <w:bCs/>
          <w:sz w:val="28"/>
          <w:szCs w:val="28"/>
          <w:lang w:eastAsia="it-IT"/>
        </w:rPr>
      </w:pPr>
    </w:p>
    <w:p w14:paraId="291AF46A" w14:textId="0A1F5111" w:rsidR="0057374E" w:rsidRPr="006064CE" w:rsidRDefault="0057374E" w:rsidP="006064CE">
      <w:pPr>
        <w:spacing w:line="276" w:lineRule="auto"/>
        <w:jc w:val="center"/>
        <w:rPr>
          <w:rFonts w:ascii="IBM Plex Sans" w:eastAsia="Times New Roman" w:hAnsi="IBM Plex Sans" w:cs="Open Sans"/>
          <w:i/>
          <w:iCs/>
          <w:sz w:val="22"/>
          <w:szCs w:val="22"/>
          <w:u w:val="single"/>
          <w:lang w:val="it-CH" w:eastAsia="it-IT"/>
        </w:rPr>
      </w:pPr>
      <w:r w:rsidRPr="006064CE">
        <w:rPr>
          <w:rFonts w:ascii="IBM Plex Sans" w:eastAsia="Times New Roman" w:hAnsi="IBM Plex Sans" w:cs="Open Sans"/>
          <w:i/>
          <w:iCs/>
          <w:sz w:val="22"/>
          <w:szCs w:val="22"/>
          <w:u w:val="single"/>
          <w:lang w:val="it-CH" w:eastAsia="it-IT"/>
        </w:rPr>
        <w:t xml:space="preserve">Rafforzamento strategico nel mercato dei </w:t>
      </w:r>
      <w:proofErr w:type="spellStart"/>
      <w:r w:rsidRPr="006064CE">
        <w:rPr>
          <w:rFonts w:ascii="IBM Plex Sans" w:eastAsia="Times New Roman" w:hAnsi="IBM Plex Sans" w:cs="Open Sans"/>
          <w:i/>
          <w:iCs/>
          <w:sz w:val="22"/>
          <w:szCs w:val="22"/>
          <w:u w:val="single"/>
          <w:lang w:val="it-CH" w:eastAsia="it-IT"/>
        </w:rPr>
        <w:t>reefer</w:t>
      </w:r>
      <w:proofErr w:type="spellEnd"/>
      <w:r w:rsidRPr="006064CE">
        <w:rPr>
          <w:rFonts w:ascii="IBM Plex Sans" w:eastAsia="Times New Roman" w:hAnsi="IBM Plex Sans" w:cs="Open Sans"/>
          <w:i/>
          <w:iCs/>
          <w:sz w:val="22"/>
          <w:szCs w:val="22"/>
          <w:u w:val="single"/>
          <w:lang w:val="it-CH" w:eastAsia="it-IT"/>
        </w:rPr>
        <w:t xml:space="preserve"> container </w:t>
      </w:r>
    </w:p>
    <w:p w14:paraId="1C4AA6CD" w14:textId="1812ED01" w:rsidR="0057374E" w:rsidRPr="006064CE" w:rsidRDefault="0057374E" w:rsidP="0057374E">
      <w:pPr>
        <w:jc w:val="center"/>
        <w:rPr>
          <w:rFonts w:ascii="IBM Plex Sans" w:eastAsia="Times New Roman" w:hAnsi="IBM Plex Sans" w:cs="Open Sans"/>
          <w:i/>
          <w:iCs/>
          <w:sz w:val="22"/>
          <w:szCs w:val="22"/>
          <w:u w:val="single"/>
          <w:lang w:val="it-CH" w:eastAsia="it-IT"/>
        </w:rPr>
      </w:pPr>
      <w:r w:rsidRPr="006064CE">
        <w:rPr>
          <w:rFonts w:ascii="IBM Plex Sans" w:eastAsia="Times New Roman" w:hAnsi="IBM Plex Sans" w:cs="Open Sans"/>
          <w:i/>
          <w:iCs/>
          <w:sz w:val="22"/>
          <w:szCs w:val="22"/>
          <w:u w:val="single"/>
          <w:lang w:val="it-CH" w:eastAsia="it-IT"/>
        </w:rPr>
        <w:t xml:space="preserve">L’offerta </w:t>
      </w:r>
      <w:proofErr w:type="spellStart"/>
      <w:r w:rsidRPr="006064CE">
        <w:rPr>
          <w:rFonts w:ascii="IBM Plex Sans" w:eastAsia="Times New Roman" w:hAnsi="IBM Plex Sans" w:cs="Open Sans"/>
          <w:i/>
          <w:iCs/>
          <w:sz w:val="22"/>
          <w:szCs w:val="22"/>
          <w:u w:val="single"/>
          <w:lang w:val="it-CH" w:eastAsia="it-IT"/>
        </w:rPr>
        <w:t>Multitemp</w:t>
      </w:r>
      <w:proofErr w:type="spellEnd"/>
      <w:r w:rsidRPr="006064CE">
        <w:rPr>
          <w:rFonts w:ascii="IBM Plex Sans" w:eastAsia="Times New Roman" w:hAnsi="IBM Plex Sans" w:cs="Open Sans"/>
          <w:i/>
          <w:iCs/>
          <w:sz w:val="22"/>
          <w:szCs w:val="22"/>
          <w:u w:val="single"/>
          <w:lang w:val="it-CH" w:eastAsia="it-IT"/>
        </w:rPr>
        <w:t xml:space="preserve"> e Emirates Cool Express</w:t>
      </w:r>
    </w:p>
    <w:p w14:paraId="484AD084" w14:textId="77777777" w:rsidR="00D1585C" w:rsidRDefault="00D1585C" w:rsidP="00D1585C">
      <w:pPr>
        <w:jc w:val="center"/>
        <w:rPr>
          <w:rFonts w:ascii="IBM Plex Sans" w:eastAsia="Times New Roman" w:hAnsi="IBM Plex Sans" w:cs="Open Sans"/>
          <w:i/>
          <w:iCs/>
          <w:sz w:val="28"/>
          <w:szCs w:val="28"/>
          <w:lang w:eastAsia="it-IT"/>
        </w:rPr>
      </w:pPr>
    </w:p>
    <w:p w14:paraId="0D7CFC4A" w14:textId="77777777" w:rsidR="00ED5EF4" w:rsidRDefault="00ED5EF4" w:rsidP="00D1585C">
      <w:pPr>
        <w:jc w:val="center"/>
        <w:rPr>
          <w:rFonts w:ascii="IBM Plex Sans" w:eastAsia="Times New Roman" w:hAnsi="IBM Plex Sans" w:cs="Open Sans"/>
          <w:sz w:val="22"/>
          <w:szCs w:val="22"/>
          <w:lang w:eastAsia="it-IT"/>
        </w:rPr>
      </w:pPr>
    </w:p>
    <w:p w14:paraId="77348F3A" w14:textId="77777777" w:rsidR="006064CE" w:rsidRDefault="006064CE" w:rsidP="00D1585C">
      <w:pPr>
        <w:jc w:val="center"/>
        <w:rPr>
          <w:rFonts w:ascii="IBM Plex Sans" w:eastAsia="Times New Roman" w:hAnsi="IBM Plex Sans" w:cs="Open Sans"/>
          <w:sz w:val="22"/>
          <w:szCs w:val="22"/>
          <w:lang w:eastAsia="it-IT"/>
        </w:rPr>
      </w:pPr>
    </w:p>
    <w:p w14:paraId="5D26AB8B" w14:textId="6DC06155" w:rsidR="00013194" w:rsidRDefault="00013194" w:rsidP="00013194">
      <w:pPr>
        <w:jc w:val="both"/>
        <w:rPr>
          <w:rFonts w:ascii="IBM Plex Sans" w:eastAsia="Times New Roman" w:hAnsi="IBM Plex Sans" w:cs="Open Sans"/>
          <w:sz w:val="22"/>
          <w:szCs w:val="22"/>
          <w:lang w:val="it-CH" w:eastAsia="it-IT"/>
        </w:rPr>
      </w:pPr>
      <w:r w:rsidRPr="00013194">
        <w:rPr>
          <w:rFonts w:ascii="IBM Plex Sans" w:eastAsia="Times New Roman" w:hAnsi="IBM Plex Sans" w:cs="Open Sans"/>
          <w:sz w:val="22"/>
          <w:szCs w:val="22"/>
          <w:lang w:val="it-CH" w:eastAsia="it-IT"/>
        </w:rPr>
        <w:t xml:space="preserve">Il </w:t>
      </w:r>
      <w:r w:rsidR="00894B32">
        <w:rPr>
          <w:rFonts w:ascii="IBM Plex Sans" w:eastAsia="Times New Roman" w:hAnsi="IBM Plex Sans" w:cs="Open Sans"/>
          <w:sz w:val="22"/>
          <w:szCs w:val="22"/>
          <w:lang w:val="it-CH" w:eastAsia="it-IT"/>
        </w:rPr>
        <w:t>G</w:t>
      </w:r>
      <w:r w:rsidRPr="00013194">
        <w:rPr>
          <w:rFonts w:ascii="IBM Plex Sans" w:eastAsia="Times New Roman" w:hAnsi="IBM Plex Sans" w:cs="Open Sans"/>
          <w:sz w:val="22"/>
          <w:szCs w:val="22"/>
          <w:lang w:val="it-CH" w:eastAsia="it-IT"/>
        </w:rPr>
        <w:t>ruppo Ignazio Messina &amp; C</w:t>
      </w:r>
      <w:r w:rsidR="00D365DD">
        <w:rPr>
          <w:rFonts w:ascii="IBM Plex Sans" w:eastAsia="Times New Roman" w:hAnsi="IBM Plex Sans" w:cs="Open Sans"/>
          <w:sz w:val="22"/>
          <w:szCs w:val="22"/>
          <w:lang w:val="it-CH" w:eastAsia="it-IT"/>
        </w:rPr>
        <w:t>.</w:t>
      </w:r>
      <w:r w:rsidRPr="00013194">
        <w:rPr>
          <w:rFonts w:ascii="IBM Plex Sans" w:eastAsia="Times New Roman" w:hAnsi="IBM Plex Sans" w:cs="Open Sans"/>
          <w:sz w:val="22"/>
          <w:szCs w:val="22"/>
          <w:lang w:val="it-CH" w:eastAsia="it-IT"/>
        </w:rPr>
        <w:t xml:space="preserve"> S</w:t>
      </w:r>
      <w:r w:rsidR="00D365DD">
        <w:rPr>
          <w:rFonts w:ascii="IBM Plex Sans" w:eastAsia="Times New Roman" w:hAnsi="IBM Plex Sans" w:cs="Open Sans"/>
          <w:sz w:val="22"/>
          <w:szCs w:val="22"/>
          <w:lang w:val="it-CH" w:eastAsia="it-IT"/>
        </w:rPr>
        <w:t>.</w:t>
      </w:r>
      <w:r w:rsidRPr="00013194">
        <w:rPr>
          <w:rFonts w:ascii="IBM Plex Sans" w:eastAsia="Times New Roman" w:hAnsi="IBM Plex Sans" w:cs="Open Sans"/>
          <w:sz w:val="22"/>
          <w:szCs w:val="22"/>
          <w:lang w:val="it-CH" w:eastAsia="it-IT"/>
        </w:rPr>
        <w:t>p</w:t>
      </w:r>
      <w:r w:rsidR="00D365DD">
        <w:rPr>
          <w:rFonts w:ascii="IBM Plex Sans" w:eastAsia="Times New Roman" w:hAnsi="IBM Plex Sans" w:cs="Open Sans"/>
          <w:sz w:val="22"/>
          <w:szCs w:val="22"/>
          <w:lang w:val="it-CH" w:eastAsia="it-IT"/>
        </w:rPr>
        <w:t>.A.</w:t>
      </w:r>
      <w:r w:rsidRPr="00013194">
        <w:rPr>
          <w:rFonts w:ascii="IBM Plex Sans" w:eastAsia="Times New Roman" w:hAnsi="IBM Plex Sans" w:cs="Open Sans"/>
          <w:sz w:val="22"/>
          <w:szCs w:val="22"/>
          <w:lang w:val="it-CH" w:eastAsia="it-IT"/>
        </w:rPr>
        <w:t xml:space="preserve"> ha acquisito il controllo totale della società genovese Thermocar s</w:t>
      </w:r>
      <w:r w:rsidR="00D365DD">
        <w:rPr>
          <w:rFonts w:ascii="IBM Plex Sans" w:eastAsia="Times New Roman" w:hAnsi="IBM Plex Sans" w:cs="Open Sans"/>
          <w:sz w:val="22"/>
          <w:szCs w:val="22"/>
          <w:lang w:val="it-CH" w:eastAsia="it-IT"/>
        </w:rPr>
        <w:t>.</w:t>
      </w:r>
      <w:r w:rsidRPr="00013194">
        <w:rPr>
          <w:rFonts w:ascii="IBM Plex Sans" w:eastAsia="Times New Roman" w:hAnsi="IBM Plex Sans" w:cs="Open Sans"/>
          <w:sz w:val="22"/>
          <w:szCs w:val="22"/>
          <w:lang w:val="it-CH" w:eastAsia="it-IT"/>
        </w:rPr>
        <w:t>r</w:t>
      </w:r>
      <w:r w:rsidR="00D365DD">
        <w:rPr>
          <w:rFonts w:ascii="IBM Plex Sans" w:eastAsia="Times New Roman" w:hAnsi="IBM Plex Sans" w:cs="Open Sans"/>
          <w:sz w:val="22"/>
          <w:szCs w:val="22"/>
          <w:lang w:val="it-CH" w:eastAsia="it-IT"/>
        </w:rPr>
        <w:t>.</w:t>
      </w:r>
      <w:r w:rsidRPr="00013194">
        <w:rPr>
          <w:rFonts w:ascii="IBM Plex Sans" w:eastAsia="Times New Roman" w:hAnsi="IBM Plex Sans" w:cs="Open Sans"/>
          <w:sz w:val="22"/>
          <w:szCs w:val="22"/>
          <w:lang w:val="it-CH" w:eastAsia="it-IT"/>
        </w:rPr>
        <w:t>l</w:t>
      </w:r>
      <w:r w:rsidR="00D365DD">
        <w:rPr>
          <w:rFonts w:ascii="IBM Plex Sans" w:eastAsia="Times New Roman" w:hAnsi="IBM Plex Sans" w:cs="Open Sans"/>
          <w:sz w:val="22"/>
          <w:szCs w:val="22"/>
          <w:lang w:val="it-CH" w:eastAsia="it-IT"/>
        </w:rPr>
        <w:t>.</w:t>
      </w:r>
      <w:r w:rsidRPr="00013194">
        <w:rPr>
          <w:rFonts w:ascii="IBM Plex Sans" w:eastAsia="Times New Roman" w:hAnsi="IBM Plex Sans" w:cs="Open Sans"/>
          <w:sz w:val="22"/>
          <w:szCs w:val="22"/>
          <w:lang w:val="it-CH" w:eastAsia="it-IT"/>
        </w:rPr>
        <w:t xml:space="preserve">, fra le aziende più note e apprezzate nel settore della logistica di container frigo a temperatura controllata. L’atto di cessione delle quote del 100% di Thermocar, fra i soggetti venditori Adriana e Federico Puccetti e il gruppo armatoriale e logistico genovese, si è perfezionato nei giorni scorsi presso lo studio Bonelli Erede di Genova. </w:t>
      </w:r>
    </w:p>
    <w:p w14:paraId="74FBB358" w14:textId="77777777" w:rsidR="00013194" w:rsidRPr="00013194" w:rsidRDefault="00013194" w:rsidP="00013194">
      <w:pPr>
        <w:jc w:val="both"/>
        <w:rPr>
          <w:rFonts w:ascii="IBM Plex Sans" w:eastAsia="Times New Roman" w:hAnsi="IBM Plex Sans" w:cs="Open Sans"/>
          <w:sz w:val="22"/>
          <w:szCs w:val="22"/>
          <w:lang w:val="it-CH" w:eastAsia="it-IT"/>
        </w:rPr>
      </w:pPr>
    </w:p>
    <w:p w14:paraId="2F8FD2E2" w14:textId="0862FD88" w:rsidR="00013194" w:rsidRDefault="00013194" w:rsidP="00013194">
      <w:pPr>
        <w:jc w:val="both"/>
        <w:rPr>
          <w:rFonts w:ascii="IBM Plex Sans" w:eastAsia="Times New Roman" w:hAnsi="IBM Plex Sans" w:cs="Open Sans"/>
          <w:sz w:val="22"/>
          <w:szCs w:val="22"/>
          <w:lang w:val="it-CH" w:eastAsia="it-IT"/>
        </w:rPr>
      </w:pPr>
      <w:r w:rsidRPr="00013194">
        <w:rPr>
          <w:rFonts w:ascii="IBM Plex Sans" w:eastAsia="Times New Roman" w:hAnsi="IBM Plex Sans" w:cs="Open Sans"/>
          <w:sz w:val="22"/>
          <w:szCs w:val="22"/>
          <w:lang w:val="it-CH" w:eastAsia="it-IT"/>
        </w:rPr>
        <w:t xml:space="preserve">Thermocar che vanta una lunga specializzazione nel trasporto di merci a temperatura controllata tra Europa, Africa, Medio Oriente, Pakistan e India da decenni collabora proprio con la Messina, controllando direttamente l’intera catena logistica del freddo, ha lanciato un servizio diretto Emirates Cool Express dal Sud Europa agli Emirati. </w:t>
      </w:r>
    </w:p>
    <w:p w14:paraId="0DB7649A" w14:textId="77777777" w:rsidR="00013194" w:rsidRPr="00013194" w:rsidRDefault="00013194" w:rsidP="00013194">
      <w:pPr>
        <w:jc w:val="both"/>
        <w:rPr>
          <w:rFonts w:ascii="IBM Plex Sans" w:eastAsia="Times New Roman" w:hAnsi="IBM Plex Sans" w:cs="Open Sans"/>
          <w:sz w:val="22"/>
          <w:szCs w:val="22"/>
          <w:lang w:val="it-CH" w:eastAsia="it-IT"/>
        </w:rPr>
      </w:pPr>
    </w:p>
    <w:p w14:paraId="3B99E458" w14:textId="4D814F34" w:rsidR="00013194" w:rsidRDefault="00013194" w:rsidP="00013194">
      <w:pPr>
        <w:jc w:val="both"/>
        <w:rPr>
          <w:rFonts w:ascii="IBM Plex Sans" w:eastAsia="Times New Roman" w:hAnsi="IBM Plex Sans" w:cs="Open Sans"/>
          <w:sz w:val="22"/>
          <w:szCs w:val="22"/>
          <w:lang w:val="it-CH" w:eastAsia="it-IT"/>
        </w:rPr>
      </w:pPr>
      <w:r w:rsidRPr="00013194">
        <w:rPr>
          <w:rFonts w:ascii="IBM Plex Sans" w:eastAsia="Times New Roman" w:hAnsi="IBM Plex Sans" w:cs="Open Sans"/>
          <w:sz w:val="22"/>
          <w:szCs w:val="22"/>
          <w:lang w:val="it-CH" w:eastAsia="it-IT"/>
        </w:rPr>
        <w:t xml:space="preserve">Thermocar dispone di una flotta di container frigoriferi (20' </w:t>
      </w:r>
      <w:proofErr w:type="spellStart"/>
      <w:r w:rsidRPr="00013194">
        <w:rPr>
          <w:rFonts w:ascii="IBM Plex Sans" w:eastAsia="Times New Roman" w:hAnsi="IBM Plex Sans" w:cs="Open Sans"/>
          <w:sz w:val="22"/>
          <w:szCs w:val="22"/>
          <w:lang w:val="it-CH" w:eastAsia="it-IT"/>
        </w:rPr>
        <w:t>reefer</w:t>
      </w:r>
      <w:proofErr w:type="spellEnd"/>
      <w:r w:rsidRPr="00013194">
        <w:rPr>
          <w:rFonts w:ascii="IBM Plex Sans" w:eastAsia="Times New Roman" w:hAnsi="IBM Plex Sans" w:cs="Open Sans"/>
          <w:sz w:val="22"/>
          <w:szCs w:val="22"/>
          <w:lang w:val="it-CH" w:eastAsia="it-IT"/>
        </w:rPr>
        <w:t xml:space="preserve">, 20' </w:t>
      </w:r>
      <w:proofErr w:type="spellStart"/>
      <w:r w:rsidRPr="00013194">
        <w:rPr>
          <w:rFonts w:ascii="IBM Plex Sans" w:eastAsia="Times New Roman" w:hAnsi="IBM Plex Sans" w:cs="Open Sans"/>
          <w:sz w:val="22"/>
          <w:szCs w:val="22"/>
          <w:lang w:val="it-CH" w:eastAsia="it-IT"/>
        </w:rPr>
        <w:t>reefer</w:t>
      </w:r>
      <w:proofErr w:type="spellEnd"/>
      <w:r w:rsidRPr="00013194">
        <w:rPr>
          <w:rFonts w:ascii="IBM Plex Sans" w:eastAsia="Times New Roman" w:hAnsi="IBM Plex Sans" w:cs="Open Sans"/>
          <w:sz w:val="22"/>
          <w:szCs w:val="22"/>
          <w:lang w:val="it-CH" w:eastAsia="it-IT"/>
        </w:rPr>
        <w:t xml:space="preserve"> high cube, </w:t>
      </w:r>
      <w:r w:rsidR="00FD0497">
        <w:rPr>
          <w:rFonts w:ascii="IBM Plex Sans" w:eastAsia="Times New Roman" w:hAnsi="IBM Plex Sans" w:cs="Open Sans"/>
          <w:sz w:val="22"/>
          <w:szCs w:val="22"/>
          <w:lang w:val="it-CH" w:eastAsia="it-IT"/>
        </w:rPr>
        <w:t xml:space="preserve">40’ </w:t>
      </w:r>
      <w:proofErr w:type="spellStart"/>
      <w:r w:rsidRPr="00013194">
        <w:rPr>
          <w:rFonts w:ascii="IBM Plex Sans" w:eastAsia="Times New Roman" w:hAnsi="IBM Plex Sans" w:cs="Open Sans"/>
          <w:sz w:val="22"/>
          <w:szCs w:val="22"/>
          <w:lang w:val="it-CH" w:eastAsia="it-IT"/>
        </w:rPr>
        <w:t>reefer</w:t>
      </w:r>
      <w:proofErr w:type="spellEnd"/>
      <w:r w:rsidRPr="00013194">
        <w:rPr>
          <w:rFonts w:ascii="IBM Plex Sans" w:eastAsia="Times New Roman" w:hAnsi="IBM Plex Sans" w:cs="Open Sans"/>
          <w:sz w:val="22"/>
          <w:szCs w:val="22"/>
          <w:lang w:val="it-CH" w:eastAsia="it-IT"/>
        </w:rPr>
        <w:t xml:space="preserve"> high cube Atmosfera Controllata, 45' </w:t>
      </w:r>
      <w:proofErr w:type="spellStart"/>
      <w:r w:rsidRPr="00013194">
        <w:rPr>
          <w:rFonts w:ascii="IBM Plex Sans" w:eastAsia="Times New Roman" w:hAnsi="IBM Plex Sans" w:cs="Open Sans"/>
          <w:sz w:val="22"/>
          <w:szCs w:val="22"/>
          <w:lang w:val="it-CH" w:eastAsia="it-IT"/>
        </w:rPr>
        <w:t>reefer</w:t>
      </w:r>
      <w:proofErr w:type="spellEnd"/>
      <w:r w:rsidRPr="00013194">
        <w:rPr>
          <w:rFonts w:ascii="IBM Plex Sans" w:eastAsia="Times New Roman" w:hAnsi="IBM Plex Sans" w:cs="Open Sans"/>
          <w:sz w:val="22"/>
          <w:szCs w:val="22"/>
          <w:lang w:val="it-CH" w:eastAsia="it-IT"/>
        </w:rPr>
        <w:t xml:space="preserve"> high cube </w:t>
      </w:r>
      <w:proofErr w:type="spellStart"/>
      <w:r w:rsidRPr="00013194">
        <w:rPr>
          <w:rFonts w:ascii="IBM Plex Sans" w:eastAsia="Times New Roman" w:hAnsi="IBM Plex Sans" w:cs="Open Sans"/>
          <w:sz w:val="22"/>
          <w:szCs w:val="22"/>
          <w:lang w:val="it-CH" w:eastAsia="it-IT"/>
        </w:rPr>
        <w:t>palletwide</w:t>
      </w:r>
      <w:proofErr w:type="spellEnd"/>
      <w:r w:rsidRPr="00013194">
        <w:rPr>
          <w:rFonts w:ascii="IBM Plex Sans" w:eastAsia="Times New Roman" w:hAnsi="IBM Plex Sans" w:cs="Open Sans"/>
          <w:sz w:val="22"/>
          <w:szCs w:val="22"/>
          <w:lang w:val="it-CH" w:eastAsia="it-IT"/>
        </w:rPr>
        <w:t xml:space="preserve">), di automezzi per il trasporto dei container, di un terminal e una cella frigorifera all'interno del porto di Genova. Della flotta fanno parte anche i container </w:t>
      </w:r>
      <w:proofErr w:type="spellStart"/>
      <w:r w:rsidRPr="00013194">
        <w:rPr>
          <w:rFonts w:ascii="IBM Plex Sans" w:eastAsia="Times New Roman" w:hAnsi="IBM Plex Sans" w:cs="Open Sans"/>
          <w:sz w:val="22"/>
          <w:szCs w:val="22"/>
          <w:lang w:val="it-CH" w:eastAsia="it-IT"/>
        </w:rPr>
        <w:t>Multitemp</w:t>
      </w:r>
      <w:proofErr w:type="spellEnd"/>
      <w:r w:rsidRPr="00013194">
        <w:rPr>
          <w:rFonts w:ascii="IBM Plex Sans" w:eastAsia="Times New Roman" w:hAnsi="IBM Plex Sans" w:cs="Open Sans"/>
          <w:sz w:val="22"/>
          <w:szCs w:val="22"/>
          <w:lang w:val="it-CH" w:eastAsia="it-IT"/>
        </w:rPr>
        <w:t>, che attraverso un sistema di paratie e un controllo in remoto delle temperature, consentono di trasportare nello stesso container merci che richiedono temperature costanti di diversa gradazione.</w:t>
      </w:r>
    </w:p>
    <w:p w14:paraId="0F7A2D40" w14:textId="77777777" w:rsidR="00013194" w:rsidRPr="00013194" w:rsidRDefault="00013194" w:rsidP="00013194">
      <w:pPr>
        <w:jc w:val="both"/>
        <w:rPr>
          <w:rFonts w:ascii="IBM Plex Sans" w:eastAsia="Times New Roman" w:hAnsi="IBM Plex Sans" w:cs="Open Sans"/>
          <w:sz w:val="22"/>
          <w:szCs w:val="22"/>
          <w:lang w:val="it-CH" w:eastAsia="it-IT"/>
        </w:rPr>
      </w:pPr>
    </w:p>
    <w:p w14:paraId="19D9DF4F" w14:textId="7D9F37D0" w:rsidR="00013194" w:rsidRPr="00013194" w:rsidRDefault="00013194" w:rsidP="00013194">
      <w:pPr>
        <w:jc w:val="both"/>
        <w:rPr>
          <w:rFonts w:ascii="IBM Plex Sans" w:eastAsia="Times New Roman" w:hAnsi="IBM Plex Sans" w:cs="Open Sans"/>
          <w:sz w:val="22"/>
          <w:szCs w:val="22"/>
          <w:lang w:val="it-CH" w:eastAsia="it-IT"/>
        </w:rPr>
      </w:pPr>
      <w:r w:rsidRPr="00013194">
        <w:rPr>
          <w:rFonts w:ascii="IBM Plex Sans" w:eastAsia="Times New Roman" w:hAnsi="IBM Plex Sans" w:cs="Open Sans"/>
          <w:sz w:val="22"/>
          <w:szCs w:val="22"/>
          <w:lang w:val="it-CH" w:eastAsia="it-IT"/>
        </w:rPr>
        <w:t xml:space="preserve">Dal Terminal di Genova sono controllate ed eseguite tutte le operazioni che riguardano i servizi a temperatura controllata: dalla prova, riparazione e lavaggio dei container, allo stoccaggio alimentato da 45 prese frigo all’interno del </w:t>
      </w:r>
      <w:r w:rsidR="00D365DD">
        <w:rPr>
          <w:rFonts w:ascii="IBM Plex Sans" w:eastAsia="Times New Roman" w:hAnsi="IBM Plex Sans" w:cs="Open Sans"/>
          <w:sz w:val="22"/>
          <w:szCs w:val="22"/>
          <w:lang w:val="it-CH" w:eastAsia="it-IT"/>
        </w:rPr>
        <w:t xml:space="preserve">Messina Terminal </w:t>
      </w:r>
      <w:r w:rsidRPr="00013194">
        <w:rPr>
          <w:rFonts w:ascii="IBM Plex Sans" w:eastAsia="Times New Roman" w:hAnsi="IBM Plex Sans" w:cs="Open Sans"/>
          <w:sz w:val="22"/>
          <w:szCs w:val="22"/>
          <w:lang w:val="it-CH" w:eastAsia="it-IT"/>
        </w:rPr>
        <w:t>in area doganale con il magazzino di temporanea custodia.</w:t>
      </w:r>
    </w:p>
    <w:p w14:paraId="56589D49" w14:textId="77777777" w:rsidR="00013194" w:rsidRPr="00013194" w:rsidRDefault="00013194" w:rsidP="00013194">
      <w:pPr>
        <w:jc w:val="both"/>
        <w:rPr>
          <w:rFonts w:ascii="IBM Plex Sans" w:eastAsia="Times New Roman" w:hAnsi="IBM Plex Sans" w:cs="Open Sans"/>
          <w:sz w:val="22"/>
          <w:szCs w:val="22"/>
          <w:lang w:val="it-CH" w:eastAsia="it-IT"/>
        </w:rPr>
      </w:pPr>
    </w:p>
    <w:p w14:paraId="2096CD37" w14:textId="77777777" w:rsidR="00013194" w:rsidRPr="00013194" w:rsidRDefault="00013194" w:rsidP="00013194">
      <w:pPr>
        <w:jc w:val="both"/>
        <w:rPr>
          <w:rFonts w:ascii="IBM Plex Sans" w:eastAsia="Times New Roman" w:hAnsi="IBM Plex Sans" w:cs="Open Sans"/>
          <w:sz w:val="22"/>
          <w:szCs w:val="22"/>
          <w:lang w:val="it-CH" w:eastAsia="it-IT"/>
        </w:rPr>
      </w:pPr>
      <w:r w:rsidRPr="00013194">
        <w:rPr>
          <w:rFonts w:ascii="IBM Plex Sans" w:eastAsia="Times New Roman" w:hAnsi="IBM Plex Sans" w:cs="Open Sans"/>
          <w:sz w:val="22"/>
          <w:szCs w:val="22"/>
          <w:lang w:val="it-CH" w:eastAsia="it-IT"/>
        </w:rPr>
        <w:lastRenderedPageBreak/>
        <w:t>Gli automezzi di proprietà sono tutti equipaggiati con generatore e sono ribassati per poter muovere in tutta Europa container high cube rispettando i 4 metri di altezza complessiva.</w:t>
      </w:r>
    </w:p>
    <w:p w14:paraId="71618112" w14:textId="77777777" w:rsidR="00013194" w:rsidRDefault="00013194" w:rsidP="00013194">
      <w:pPr>
        <w:jc w:val="both"/>
        <w:rPr>
          <w:rFonts w:ascii="IBM Plex Sans" w:eastAsia="Times New Roman" w:hAnsi="IBM Plex Sans" w:cs="Open Sans"/>
          <w:sz w:val="22"/>
          <w:szCs w:val="22"/>
          <w:lang w:val="it-CH" w:eastAsia="it-IT"/>
        </w:rPr>
      </w:pPr>
    </w:p>
    <w:p w14:paraId="5D39020C" w14:textId="763278EC" w:rsidR="00457DD8" w:rsidRDefault="00457DD8" w:rsidP="00013194">
      <w:pPr>
        <w:jc w:val="both"/>
        <w:rPr>
          <w:rFonts w:ascii="IBM Plex Sans" w:eastAsia="Times New Roman" w:hAnsi="IBM Plex Sans" w:cs="Open Sans"/>
          <w:sz w:val="22"/>
          <w:szCs w:val="22"/>
          <w:lang w:val="it-CH" w:eastAsia="it-IT"/>
        </w:rPr>
      </w:pPr>
      <w:r w:rsidRPr="00457DD8">
        <w:rPr>
          <w:rFonts w:ascii="IBM Plex Sans" w:eastAsia="Times New Roman" w:hAnsi="IBM Plex Sans" w:cs="Open Sans"/>
          <w:sz w:val="22"/>
          <w:szCs w:val="22"/>
          <w:lang w:val="it-CH" w:eastAsia="it-IT"/>
        </w:rPr>
        <w:t>I fratelli Puccetti continueranno a essere coinvolti nella gestione della Thermocar e, in particolare, Federico Puccetti è stato nominato Amministratore Delegato.</w:t>
      </w:r>
    </w:p>
    <w:p w14:paraId="035B50D1" w14:textId="77777777" w:rsidR="00894B32" w:rsidRPr="00013194" w:rsidRDefault="00894B32" w:rsidP="00013194">
      <w:pPr>
        <w:jc w:val="both"/>
        <w:rPr>
          <w:rFonts w:ascii="IBM Plex Sans" w:eastAsia="Times New Roman" w:hAnsi="IBM Plex Sans" w:cs="Open Sans"/>
          <w:sz w:val="22"/>
          <w:szCs w:val="22"/>
          <w:lang w:val="it-CH" w:eastAsia="it-IT"/>
        </w:rPr>
      </w:pPr>
    </w:p>
    <w:p w14:paraId="44A18BC5" w14:textId="77777777" w:rsidR="00013194" w:rsidRDefault="00013194" w:rsidP="00013194">
      <w:pPr>
        <w:jc w:val="both"/>
        <w:rPr>
          <w:rFonts w:ascii="IBM Plex Sans" w:eastAsia="Times New Roman" w:hAnsi="IBM Plex Sans" w:cs="Open Sans"/>
          <w:sz w:val="22"/>
          <w:szCs w:val="22"/>
          <w:lang w:val="it-CH" w:eastAsia="it-IT"/>
        </w:rPr>
      </w:pPr>
      <w:r w:rsidRPr="00013194">
        <w:rPr>
          <w:rFonts w:ascii="IBM Plex Sans" w:eastAsia="Times New Roman" w:hAnsi="IBM Plex Sans" w:cs="Open Sans"/>
          <w:sz w:val="22"/>
          <w:szCs w:val="22"/>
          <w:lang w:val="it-CH" w:eastAsia="it-IT"/>
        </w:rPr>
        <w:t xml:space="preserve">Per il Gruppo genovese, questa operazione assume un preciso valore strategico, non solo perché il mercato di riferimento di Thermocar ricalca in gran parte le rotte della compagnia di navigazione di cui è cliente storico, ma anche perché nel piano di investimento in nuove navi full container che la compagnia genovese sta attuando aumentando la propria capacità sui mercati di riferimento con l’obbiettivo di completare il ciclo totale della merce, particolare attenzione è stata dedicata proprio alla capacità di trasporto </w:t>
      </w:r>
      <w:proofErr w:type="spellStart"/>
      <w:r w:rsidRPr="00013194">
        <w:rPr>
          <w:rFonts w:ascii="IBM Plex Sans" w:eastAsia="Times New Roman" w:hAnsi="IBM Plex Sans" w:cs="Open Sans"/>
          <w:sz w:val="22"/>
          <w:szCs w:val="22"/>
          <w:lang w:val="it-CH" w:eastAsia="it-IT"/>
        </w:rPr>
        <w:t>reefer</w:t>
      </w:r>
      <w:proofErr w:type="spellEnd"/>
      <w:r w:rsidRPr="00013194">
        <w:rPr>
          <w:rFonts w:ascii="IBM Plex Sans" w:eastAsia="Times New Roman" w:hAnsi="IBM Plex Sans" w:cs="Open Sans"/>
          <w:sz w:val="22"/>
          <w:szCs w:val="22"/>
          <w:lang w:val="it-CH" w:eastAsia="it-IT"/>
        </w:rPr>
        <w:t xml:space="preserve"> per le destinazioni del Mediterraneo, del Medio Oriente, dell’Africa e dell’India. </w:t>
      </w:r>
    </w:p>
    <w:p w14:paraId="2F891B0D" w14:textId="77777777" w:rsidR="00013194" w:rsidRPr="00013194" w:rsidRDefault="00013194" w:rsidP="00013194">
      <w:pPr>
        <w:jc w:val="both"/>
        <w:rPr>
          <w:rFonts w:ascii="IBM Plex Sans" w:eastAsia="Times New Roman" w:hAnsi="IBM Plex Sans" w:cs="Open Sans"/>
          <w:sz w:val="22"/>
          <w:szCs w:val="22"/>
          <w:lang w:val="it-CH" w:eastAsia="it-IT"/>
        </w:rPr>
      </w:pPr>
    </w:p>
    <w:p w14:paraId="2D8EA874" w14:textId="5111EF39" w:rsidR="00D1585C" w:rsidRDefault="00013194" w:rsidP="00013194">
      <w:pPr>
        <w:jc w:val="both"/>
        <w:rPr>
          <w:rFonts w:ascii="IBM Plex Sans" w:eastAsia="Times New Roman" w:hAnsi="IBM Plex Sans" w:cs="Open Sans"/>
          <w:sz w:val="22"/>
          <w:szCs w:val="22"/>
          <w:lang w:val="it-CH" w:eastAsia="it-IT"/>
        </w:rPr>
      </w:pPr>
      <w:r w:rsidRPr="00013194">
        <w:rPr>
          <w:rFonts w:ascii="IBM Plex Sans" w:eastAsia="Times New Roman" w:hAnsi="IBM Plex Sans" w:cs="Open Sans"/>
          <w:sz w:val="22"/>
          <w:szCs w:val="22"/>
          <w:lang w:val="it-CH" w:eastAsia="it-IT"/>
        </w:rPr>
        <w:t>“Questa operazione – sottolinea Andrea Gais, presidente di Ignazio Messina &amp; C. S.p.A. – riflette una precisa strategia del nostro gruppo che per garantire la massima affidabilità ai clienti, ritiene di dover sovraintendere il più possibile all’intero ciclo della merce, dall’origine alla destinazione finale, fornendo specializzazione, esperienza e presenza qualificata sui mercati”</w:t>
      </w:r>
      <w:r w:rsidR="008B17D1">
        <w:rPr>
          <w:rFonts w:ascii="IBM Plex Sans" w:eastAsia="Times New Roman" w:hAnsi="IBM Plex Sans" w:cs="Open Sans"/>
          <w:sz w:val="22"/>
          <w:szCs w:val="22"/>
          <w:lang w:val="it-CH" w:eastAsia="it-IT"/>
        </w:rPr>
        <w:t>.</w:t>
      </w:r>
    </w:p>
    <w:p w14:paraId="620CE407" w14:textId="77777777" w:rsidR="006C1C88" w:rsidRDefault="006C1C88" w:rsidP="00013194">
      <w:pPr>
        <w:jc w:val="both"/>
        <w:rPr>
          <w:rFonts w:ascii="IBM Plex Sans" w:eastAsia="Times New Roman" w:hAnsi="IBM Plex Sans" w:cs="Open Sans"/>
          <w:sz w:val="22"/>
          <w:szCs w:val="22"/>
          <w:lang w:val="it-CH" w:eastAsia="it-IT"/>
        </w:rPr>
      </w:pPr>
    </w:p>
    <w:p w14:paraId="1C637B5C" w14:textId="56B01C88" w:rsidR="006C1C88" w:rsidRDefault="006C1C88" w:rsidP="006C1C88">
      <w:pPr>
        <w:jc w:val="both"/>
        <w:rPr>
          <w:rFonts w:ascii="IBM Plex Sans" w:eastAsia="Times New Roman" w:hAnsi="IBM Plex Sans" w:cs="Open Sans"/>
          <w:sz w:val="22"/>
          <w:szCs w:val="22"/>
          <w:lang w:val="it-CH" w:eastAsia="it-IT"/>
        </w:rPr>
      </w:pPr>
      <w:r w:rsidRPr="006C1C88">
        <w:rPr>
          <w:rFonts w:ascii="IBM Plex Sans" w:eastAsia="Times New Roman" w:hAnsi="IBM Plex Sans" w:cs="Open Sans"/>
          <w:sz w:val="22"/>
          <w:szCs w:val="22"/>
          <w:lang w:val="it-CH" w:eastAsia="it-IT"/>
        </w:rPr>
        <w:t>Ignazio Messina &amp; C. S.p.A. è stata assistita da BonelliErede con un team guidato dal partner Vittorio Lupoli.</w:t>
      </w:r>
    </w:p>
    <w:p w14:paraId="14B30C02" w14:textId="77777777" w:rsidR="006C1C88" w:rsidRPr="006C1C88" w:rsidRDefault="006C1C88" w:rsidP="006C1C88">
      <w:pPr>
        <w:jc w:val="both"/>
        <w:rPr>
          <w:rFonts w:ascii="IBM Plex Sans" w:eastAsia="Times New Roman" w:hAnsi="IBM Plex Sans" w:cs="Open Sans"/>
          <w:sz w:val="22"/>
          <w:szCs w:val="22"/>
          <w:lang w:val="it-CH" w:eastAsia="it-IT"/>
        </w:rPr>
      </w:pPr>
    </w:p>
    <w:p w14:paraId="2FDA89D8" w14:textId="695992B9" w:rsidR="006C1C88" w:rsidRDefault="006C1C88" w:rsidP="006C1C88">
      <w:pPr>
        <w:jc w:val="both"/>
        <w:rPr>
          <w:rFonts w:ascii="IBM Plex Sans" w:eastAsia="Times New Roman" w:hAnsi="IBM Plex Sans" w:cs="Open Sans"/>
          <w:sz w:val="22"/>
          <w:szCs w:val="22"/>
          <w:lang w:val="it-CH" w:eastAsia="it-IT"/>
        </w:rPr>
      </w:pPr>
      <w:r w:rsidRPr="006C1C88">
        <w:rPr>
          <w:rFonts w:ascii="IBM Plex Sans" w:eastAsia="Times New Roman" w:hAnsi="IBM Plex Sans" w:cs="Open Sans"/>
          <w:sz w:val="22"/>
          <w:szCs w:val="22"/>
          <w:lang w:val="it-CH" w:eastAsia="it-IT"/>
        </w:rPr>
        <w:t>LCA ha prestato assistenza ai soci venditori di Thermocar con un team guidato dal partner Riccardo Massimilla.</w:t>
      </w:r>
    </w:p>
    <w:p w14:paraId="54ED8008" w14:textId="77777777" w:rsidR="008B17D1" w:rsidRDefault="008B17D1" w:rsidP="00013194">
      <w:pPr>
        <w:jc w:val="both"/>
        <w:rPr>
          <w:rFonts w:ascii="IBM Plex Sans" w:hAnsi="IBM Plex Sans"/>
          <w:i/>
          <w:iCs/>
          <w:sz w:val="22"/>
          <w:szCs w:val="22"/>
        </w:rPr>
      </w:pPr>
    </w:p>
    <w:p w14:paraId="5CC0F67B" w14:textId="77777777" w:rsidR="00D1585C" w:rsidRDefault="00D1585C" w:rsidP="00D1585C">
      <w:pPr>
        <w:jc w:val="both"/>
        <w:rPr>
          <w:rFonts w:ascii="IBM Plex Sans" w:hAnsi="IBM Plex Sans"/>
          <w:i/>
          <w:iCs/>
          <w:sz w:val="22"/>
          <w:szCs w:val="22"/>
        </w:rPr>
      </w:pPr>
    </w:p>
    <w:p w14:paraId="60F35760" w14:textId="77777777" w:rsidR="00D365DD" w:rsidRDefault="00D365DD" w:rsidP="00D1585C">
      <w:pPr>
        <w:jc w:val="both"/>
        <w:rPr>
          <w:rFonts w:ascii="IBM Plex Sans" w:hAnsi="IBM Plex Sans"/>
          <w:i/>
          <w:iCs/>
          <w:sz w:val="22"/>
          <w:szCs w:val="22"/>
        </w:rPr>
      </w:pPr>
    </w:p>
    <w:p w14:paraId="1B576378" w14:textId="60D1854A" w:rsidR="00D1585C" w:rsidRPr="00D1585C" w:rsidRDefault="00D1585C" w:rsidP="006940B2">
      <w:pPr>
        <w:jc w:val="right"/>
        <w:rPr>
          <w:rFonts w:ascii="IBM Plex Sans" w:hAnsi="IBM Plex Sans"/>
          <w:i/>
          <w:iCs/>
          <w:sz w:val="22"/>
          <w:szCs w:val="22"/>
        </w:rPr>
      </w:pPr>
      <w:r w:rsidRPr="00D1585C">
        <w:rPr>
          <w:rFonts w:ascii="IBM Plex Sans" w:hAnsi="IBM Plex Sans"/>
          <w:i/>
          <w:iCs/>
          <w:sz w:val="22"/>
          <w:szCs w:val="22"/>
        </w:rPr>
        <w:t xml:space="preserve">Genova, 15 </w:t>
      </w:r>
      <w:r w:rsidR="0057374E">
        <w:rPr>
          <w:rFonts w:ascii="IBM Plex Sans" w:hAnsi="IBM Plex Sans"/>
          <w:i/>
          <w:iCs/>
          <w:sz w:val="22"/>
          <w:szCs w:val="22"/>
        </w:rPr>
        <w:t>gennaio 2026</w:t>
      </w:r>
    </w:p>
    <w:p w14:paraId="028FA76C" w14:textId="77777777" w:rsidR="00D1585C" w:rsidRPr="00D1585C" w:rsidRDefault="00D1585C" w:rsidP="00D1585C">
      <w:pPr>
        <w:jc w:val="both"/>
        <w:rPr>
          <w:rFonts w:ascii="IBM Plex Sans" w:hAnsi="IBM Plex Sans"/>
          <w:sz w:val="22"/>
          <w:szCs w:val="22"/>
        </w:rPr>
      </w:pPr>
    </w:p>
    <w:p w14:paraId="6F2B57D7" w14:textId="77777777" w:rsidR="00D1585C" w:rsidRDefault="00D1585C" w:rsidP="00D1585C">
      <w:pPr>
        <w:spacing w:line="360" w:lineRule="auto"/>
        <w:jc w:val="both"/>
        <w:rPr>
          <w:rFonts w:ascii="IBM Plex Sans" w:hAnsi="IBM Plex Sans"/>
          <w:sz w:val="22"/>
          <w:szCs w:val="22"/>
        </w:rPr>
      </w:pPr>
    </w:p>
    <w:p w14:paraId="5C168FE2" w14:textId="308165CE" w:rsidR="00D1585C" w:rsidRPr="00D1585C" w:rsidRDefault="00D1585C" w:rsidP="00D1585C">
      <w:pPr>
        <w:spacing w:line="360" w:lineRule="auto"/>
        <w:jc w:val="both"/>
        <w:rPr>
          <w:rFonts w:ascii="IBM Plex Sans" w:hAnsi="IBM Plex Sans"/>
          <w:b/>
          <w:bCs/>
          <w:sz w:val="22"/>
          <w:szCs w:val="22"/>
        </w:rPr>
      </w:pPr>
      <w:r w:rsidRPr="00D1585C">
        <w:rPr>
          <w:rFonts w:ascii="IBM Plex Sans" w:hAnsi="IBM Plex Sans"/>
          <w:b/>
          <w:bCs/>
          <w:sz w:val="22"/>
          <w:szCs w:val="22"/>
        </w:rPr>
        <w:t>Per ulteriori informazioni:</w:t>
      </w:r>
      <w:r w:rsidRPr="00D1585C">
        <w:rPr>
          <w:rFonts w:ascii="IBM Plex Sans" w:hAnsi="IBM Plex Sans"/>
          <w:b/>
          <w:bCs/>
          <w:sz w:val="22"/>
          <w:szCs w:val="22"/>
        </w:rPr>
        <w:tab/>
      </w:r>
      <w:r w:rsidRPr="00D1585C">
        <w:rPr>
          <w:rFonts w:ascii="IBM Plex Sans" w:hAnsi="IBM Plex Sans"/>
          <w:b/>
          <w:bCs/>
          <w:sz w:val="22"/>
          <w:szCs w:val="22"/>
        </w:rPr>
        <w:tab/>
      </w:r>
      <w:r w:rsidRPr="00D1585C">
        <w:rPr>
          <w:rFonts w:ascii="IBM Plex Sans" w:hAnsi="IBM Plex Sans"/>
          <w:b/>
          <w:bCs/>
          <w:sz w:val="22"/>
          <w:szCs w:val="22"/>
        </w:rPr>
        <w:tab/>
      </w:r>
      <w:r w:rsidRPr="00D1585C">
        <w:rPr>
          <w:rFonts w:ascii="IBM Plex Sans" w:hAnsi="IBM Plex Sans"/>
          <w:b/>
          <w:bCs/>
          <w:sz w:val="22"/>
          <w:szCs w:val="22"/>
        </w:rPr>
        <w:tab/>
      </w:r>
      <w:r w:rsidRPr="00D1585C">
        <w:rPr>
          <w:rFonts w:ascii="IBM Plex Sans" w:hAnsi="IBM Plex Sans"/>
          <w:b/>
          <w:bCs/>
          <w:sz w:val="22"/>
          <w:szCs w:val="22"/>
        </w:rPr>
        <w:tab/>
      </w:r>
      <w:r w:rsidRPr="00D1585C">
        <w:rPr>
          <w:rFonts w:ascii="IBM Plex Sans" w:hAnsi="IBM Plex Sans"/>
          <w:b/>
          <w:bCs/>
          <w:sz w:val="22"/>
          <w:szCs w:val="22"/>
        </w:rPr>
        <w:tab/>
      </w:r>
      <w:r w:rsidRPr="00D1585C">
        <w:rPr>
          <w:rFonts w:ascii="IBM Plex Sans" w:hAnsi="IBM Plex Sans"/>
          <w:b/>
          <w:bCs/>
          <w:sz w:val="22"/>
          <w:szCs w:val="22"/>
        </w:rPr>
        <w:tab/>
      </w:r>
    </w:p>
    <w:p w14:paraId="689AAD0A" w14:textId="762614DA" w:rsidR="00D1585C" w:rsidRPr="00D1585C" w:rsidRDefault="00D1585C" w:rsidP="00D1585C">
      <w:pPr>
        <w:jc w:val="both"/>
        <w:rPr>
          <w:rFonts w:ascii="IBM Plex Sans" w:hAnsi="IBM Plex Sans"/>
          <w:sz w:val="22"/>
          <w:szCs w:val="22"/>
        </w:rPr>
      </w:pPr>
      <w:r w:rsidRPr="00D1585C">
        <w:rPr>
          <w:rFonts w:ascii="IBM Plex Sans" w:hAnsi="IBM Plex Sans"/>
          <w:sz w:val="22"/>
          <w:szCs w:val="22"/>
        </w:rPr>
        <w:t xml:space="preserve">Star </w:t>
      </w:r>
      <w:r w:rsidR="00ED5EF4">
        <w:rPr>
          <w:rFonts w:ascii="IBM Plex Sans" w:hAnsi="IBM Plex Sans"/>
          <w:sz w:val="22"/>
          <w:szCs w:val="22"/>
        </w:rPr>
        <w:t>C</w:t>
      </w:r>
      <w:r w:rsidRPr="00D1585C">
        <w:rPr>
          <w:rFonts w:ascii="IBM Plex Sans" w:hAnsi="IBM Plex Sans"/>
          <w:sz w:val="22"/>
          <w:szCs w:val="22"/>
        </w:rPr>
        <w:t>omunicazione in movimento</w:t>
      </w:r>
    </w:p>
    <w:p w14:paraId="10ED449C" w14:textId="77777777" w:rsidR="00D1585C" w:rsidRPr="00D1585C" w:rsidRDefault="00D1585C" w:rsidP="00D1585C">
      <w:pPr>
        <w:jc w:val="both"/>
        <w:rPr>
          <w:rFonts w:ascii="IBM Plex Sans" w:hAnsi="IBM Plex Sans"/>
          <w:sz w:val="22"/>
          <w:szCs w:val="22"/>
        </w:rPr>
      </w:pPr>
      <w:r w:rsidRPr="00D1585C">
        <w:rPr>
          <w:rFonts w:ascii="IBM Plex Sans" w:hAnsi="IBM Plex Sans"/>
          <w:sz w:val="22"/>
          <w:szCs w:val="22"/>
        </w:rPr>
        <w:t>Barbara Gazzale</w:t>
      </w:r>
    </w:p>
    <w:p w14:paraId="796DBE54" w14:textId="77777777" w:rsidR="00D1585C" w:rsidRPr="00D1585C" w:rsidRDefault="00D1585C" w:rsidP="00D1585C">
      <w:pPr>
        <w:pStyle w:val="Nessunaspaziatura"/>
        <w:rPr>
          <w:rFonts w:ascii="IBM Plex Sans" w:hAnsi="IBM Plex Sans"/>
        </w:rPr>
      </w:pPr>
      <w:r w:rsidRPr="00D1585C">
        <w:rPr>
          <w:rFonts w:ascii="IBM Plex Sans" w:hAnsi="IBM Plex Sans"/>
        </w:rPr>
        <w:t>+39 3484144780 / +41 786433361</w:t>
      </w:r>
    </w:p>
    <w:p w14:paraId="67935CAE" w14:textId="77777777" w:rsidR="00D1585C" w:rsidRPr="00D1585C" w:rsidRDefault="00D1585C" w:rsidP="00D1585C">
      <w:pPr>
        <w:jc w:val="center"/>
        <w:rPr>
          <w:rFonts w:ascii="IBM Plex Sans" w:eastAsia="Times New Roman" w:hAnsi="IBM Plex Sans" w:cs="Open Sans"/>
          <w:sz w:val="22"/>
          <w:szCs w:val="22"/>
          <w:lang w:eastAsia="it-IT"/>
        </w:rPr>
      </w:pPr>
    </w:p>
    <w:sectPr w:rsidR="00D1585C" w:rsidRPr="00D1585C" w:rsidSect="0057374E">
      <w:headerReference w:type="default" r:id="rId6"/>
      <w:headerReference w:type="first" r:id="rId7"/>
      <w:footerReference w:type="first" r:id="rId8"/>
      <w:pgSz w:w="11906" w:h="16838"/>
      <w:pgMar w:top="2694" w:right="1134" w:bottom="3119" w:left="1134" w:header="846"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96BFC" w14:textId="77777777" w:rsidR="003D6FC9" w:rsidRDefault="003D6FC9" w:rsidP="00BD2E33">
      <w:r>
        <w:separator/>
      </w:r>
    </w:p>
  </w:endnote>
  <w:endnote w:type="continuationSeparator" w:id="0">
    <w:p w14:paraId="716FE490" w14:textId="77777777" w:rsidR="003D6FC9" w:rsidRDefault="003D6FC9" w:rsidP="00BD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BM Plex Sans">
    <w:panose1 w:val="020B0503050203000203"/>
    <w:charset w:val="00"/>
    <w:family w:val="swiss"/>
    <w:pitch w:val="variable"/>
    <w:sig w:usb0="A00002EF" w:usb1="5000207B"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BC93" w14:textId="54E3FC65" w:rsidR="00BF272F" w:rsidRDefault="005F1C72">
    <w:pPr>
      <w:pStyle w:val="Pidipagina"/>
    </w:pPr>
    <w:r>
      <w:rPr>
        <w:noProof/>
      </w:rPr>
      <w:drawing>
        <wp:anchor distT="0" distB="0" distL="114300" distR="114300" simplePos="0" relativeHeight="251659264" behindDoc="1" locked="0" layoutInCell="1" allowOverlap="1" wp14:anchorId="560341E4" wp14:editId="6839B976">
          <wp:simplePos x="0" y="0"/>
          <wp:positionH relativeFrom="column">
            <wp:posOffset>-717550</wp:posOffset>
          </wp:positionH>
          <wp:positionV relativeFrom="paragraph">
            <wp:posOffset>-262890</wp:posOffset>
          </wp:positionV>
          <wp:extent cx="7560000" cy="1780257"/>
          <wp:effectExtent l="0" t="0" r="0" b="0"/>
          <wp:wrapNone/>
          <wp:docPr id="374248694" name="Immagine 374248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1">
                    <a:extLst>
                      <a:ext uri="{28A0092B-C50C-407E-A947-70E740481C1C}">
                        <a14:useLocalDpi xmlns:a14="http://schemas.microsoft.com/office/drawing/2010/main" val="0"/>
                      </a:ext>
                    </a:extLst>
                  </a:blip>
                  <a:stretch>
                    <a:fillRect/>
                  </a:stretch>
                </pic:blipFill>
                <pic:spPr>
                  <a:xfrm>
                    <a:off x="0" y="0"/>
                    <a:ext cx="7560000" cy="1780257"/>
                  </a:xfrm>
                  <a:prstGeom prst="rect">
                    <a:avLst/>
                  </a:prstGeom>
                </pic:spPr>
              </pic:pic>
            </a:graphicData>
          </a:graphic>
          <wp14:sizeRelH relativeFrom="page">
            <wp14:pctWidth>0</wp14:pctWidth>
          </wp14:sizeRelH>
          <wp14:sizeRelV relativeFrom="page">
            <wp14:pctHeight>0</wp14:pctHeight>
          </wp14:sizeRelV>
        </wp:anchor>
      </w:drawing>
    </w:r>
  </w:p>
  <w:p w14:paraId="7BFC9A62" w14:textId="77777777" w:rsidR="00BF272F" w:rsidRDefault="00BF272F">
    <w:pPr>
      <w:pStyle w:val="Pidipagina"/>
    </w:pPr>
  </w:p>
  <w:p w14:paraId="4A1EF17B" w14:textId="77777777" w:rsidR="00BF272F" w:rsidRDefault="00BF272F">
    <w:pPr>
      <w:pStyle w:val="Pidipagina"/>
    </w:pPr>
  </w:p>
  <w:p w14:paraId="2883525F" w14:textId="77777777" w:rsidR="00BF272F" w:rsidRDefault="00BF272F">
    <w:pPr>
      <w:pStyle w:val="Pidipagina"/>
    </w:pPr>
  </w:p>
  <w:p w14:paraId="30F9B8E2" w14:textId="502596F9" w:rsidR="00BD2E33" w:rsidRDefault="00BD2E3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D5DDC" w14:textId="77777777" w:rsidR="003D6FC9" w:rsidRDefault="003D6FC9" w:rsidP="00BD2E33">
      <w:r>
        <w:separator/>
      </w:r>
    </w:p>
  </w:footnote>
  <w:footnote w:type="continuationSeparator" w:id="0">
    <w:p w14:paraId="1C28197C" w14:textId="77777777" w:rsidR="003D6FC9" w:rsidRDefault="003D6FC9" w:rsidP="00BD2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BF471" w14:textId="04ABF405" w:rsidR="00295342" w:rsidRDefault="00794F1C" w:rsidP="00295342">
    <w:pPr>
      <w:pStyle w:val="Intestazione"/>
    </w:pPr>
    <w:r>
      <w:rPr>
        <w:noProof/>
      </w:rPr>
      <w:drawing>
        <wp:anchor distT="0" distB="0" distL="114300" distR="114300" simplePos="0" relativeHeight="251661312" behindDoc="1" locked="0" layoutInCell="1" allowOverlap="1" wp14:anchorId="11B7EF27" wp14:editId="34ADD88C">
          <wp:simplePos x="0" y="0"/>
          <wp:positionH relativeFrom="column">
            <wp:posOffset>-706755</wp:posOffset>
          </wp:positionH>
          <wp:positionV relativeFrom="paragraph">
            <wp:posOffset>-557202</wp:posOffset>
          </wp:positionV>
          <wp:extent cx="7560000" cy="1444856"/>
          <wp:effectExtent l="0" t="0" r="0" b="0"/>
          <wp:wrapNone/>
          <wp:docPr id="211113652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644190" name="Immagine 727644190"/>
                  <pic:cNvPicPr/>
                </pic:nvPicPr>
                <pic:blipFill>
                  <a:blip r:embed="rId1">
                    <a:extLst>
                      <a:ext uri="{28A0092B-C50C-407E-A947-70E740481C1C}">
                        <a14:useLocalDpi xmlns:a14="http://schemas.microsoft.com/office/drawing/2010/main" val="0"/>
                      </a:ext>
                    </a:extLst>
                  </a:blip>
                  <a:stretch>
                    <a:fillRect/>
                  </a:stretch>
                </pic:blipFill>
                <pic:spPr>
                  <a:xfrm>
                    <a:off x="0" y="0"/>
                    <a:ext cx="7560000" cy="1444856"/>
                  </a:xfrm>
                  <a:prstGeom prst="rect">
                    <a:avLst/>
                  </a:prstGeom>
                </pic:spPr>
              </pic:pic>
            </a:graphicData>
          </a:graphic>
          <wp14:sizeRelH relativeFrom="page">
            <wp14:pctWidth>0</wp14:pctWidth>
          </wp14:sizeRelH>
          <wp14:sizeRelV relativeFrom="page">
            <wp14:pctHeight>0</wp14:pctHeight>
          </wp14:sizeRelV>
        </wp:anchor>
      </w:drawing>
    </w:r>
  </w:p>
  <w:p w14:paraId="0A8E9A7A" w14:textId="0ABE7C9E" w:rsidR="00794F1C" w:rsidRDefault="00794F1C" w:rsidP="00295342">
    <w:pPr>
      <w:pStyle w:val="Intestazione"/>
    </w:pPr>
  </w:p>
  <w:p w14:paraId="5C64CE49" w14:textId="3B92AAB7" w:rsidR="00794F1C" w:rsidRDefault="00794F1C" w:rsidP="00295342">
    <w:pPr>
      <w:pStyle w:val="Intestazione"/>
    </w:pPr>
  </w:p>
  <w:p w14:paraId="4D7493FD" w14:textId="77777777" w:rsidR="00794F1C" w:rsidRPr="00295342" w:rsidRDefault="00794F1C" w:rsidP="0029534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6D6B" w14:textId="7713D8FC" w:rsidR="00794F1C" w:rsidRDefault="00794F1C">
    <w:pPr>
      <w:pStyle w:val="Intestazione"/>
    </w:pPr>
    <w:r>
      <w:rPr>
        <w:noProof/>
      </w:rPr>
      <w:drawing>
        <wp:anchor distT="0" distB="0" distL="114300" distR="114300" simplePos="0" relativeHeight="251658240" behindDoc="1" locked="0" layoutInCell="1" allowOverlap="1" wp14:anchorId="2F030526" wp14:editId="7B942340">
          <wp:simplePos x="0" y="0"/>
          <wp:positionH relativeFrom="column">
            <wp:posOffset>-707390</wp:posOffset>
          </wp:positionH>
          <wp:positionV relativeFrom="paragraph">
            <wp:posOffset>-541655</wp:posOffset>
          </wp:positionV>
          <wp:extent cx="7526655" cy="1438563"/>
          <wp:effectExtent l="0" t="0" r="0" b="0"/>
          <wp:wrapNone/>
          <wp:docPr id="467431375" name="Immagine 46743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1">
                    <a:extLst>
                      <a:ext uri="{28A0092B-C50C-407E-A947-70E740481C1C}">
                        <a14:useLocalDpi xmlns:a14="http://schemas.microsoft.com/office/drawing/2010/main" val="0"/>
                      </a:ext>
                    </a:extLst>
                  </a:blip>
                  <a:stretch>
                    <a:fillRect/>
                  </a:stretch>
                </pic:blipFill>
                <pic:spPr>
                  <a:xfrm>
                    <a:off x="0" y="0"/>
                    <a:ext cx="7526655" cy="1438563"/>
                  </a:xfrm>
                  <a:prstGeom prst="rect">
                    <a:avLst/>
                  </a:prstGeom>
                </pic:spPr>
              </pic:pic>
            </a:graphicData>
          </a:graphic>
          <wp14:sizeRelH relativeFrom="page">
            <wp14:pctWidth>0</wp14:pctWidth>
          </wp14:sizeRelH>
          <wp14:sizeRelV relativeFrom="page">
            <wp14:pctHeight>0</wp14:pctHeight>
          </wp14:sizeRelV>
        </wp:anchor>
      </w:drawing>
    </w:r>
  </w:p>
  <w:p w14:paraId="7D035FA2" w14:textId="37C40C2D" w:rsidR="00BF272F" w:rsidRDefault="00BF272F">
    <w:pPr>
      <w:pStyle w:val="Intestazione"/>
    </w:pPr>
  </w:p>
  <w:p w14:paraId="04E6B888" w14:textId="73664944" w:rsidR="00BF272F" w:rsidRDefault="00BF272F">
    <w:pPr>
      <w:pStyle w:val="Intestazione"/>
    </w:pPr>
  </w:p>
  <w:p w14:paraId="29A37A6D" w14:textId="77777777" w:rsidR="00BF272F" w:rsidRDefault="00BF272F">
    <w:pPr>
      <w:pStyle w:val="Intestazione"/>
    </w:pPr>
  </w:p>
  <w:p w14:paraId="73DAA814" w14:textId="0781E9D7" w:rsidR="00BD2E33" w:rsidRDefault="00BD2E3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E33"/>
    <w:rsid w:val="00013194"/>
    <w:rsid w:val="000413D1"/>
    <w:rsid w:val="00163771"/>
    <w:rsid w:val="001758C4"/>
    <w:rsid w:val="001D5EF3"/>
    <w:rsid w:val="001E48BA"/>
    <w:rsid w:val="00220BAA"/>
    <w:rsid w:val="00235D00"/>
    <w:rsid w:val="00252F84"/>
    <w:rsid w:val="00295342"/>
    <w:rsid w:val="002C5880"/>
    <w:rsid w:val="002D26B2"/>
    <w:rsid w:val="003B649F"/>
    <w:rsid w:val="003D6FC9"/>
    <w:rsid w:val="004233B6"/>
    <w:rsid w:val="00457DD8"/>
    <w:rsid w:val="00490D10"/>
    <w:rsid w:val="005518A4"/>
    <w:rsid w:val="00567288"/>
    <w:rsid w:val="0057374E"/>
    <w:rsid w:val="00591EBE"/>
    <w:rsid w:val="005D1226"/>
    <w:rsid w:val="005F1C72"/>
    <w:rsid w:val="006064CE"/>
    <w:rsid w:val="00610EF6"/>
    <w:rsid w:val="00615880"/>
    <w:rsid w:val="006401AA"/>
    <w:rsid w:val="0068709B"/>
    <w:rsid w:val="006940B2"/>
    <w:rsid w:val="006A7395"/>
    <w:rsid w:val="006C1C88"/>
    <w:rsid w:val="00794F1C"/>
    <w:rsid w:val="007F2B26"/>
    <w:rsid w:val="007F6834"/>
    <w:rsid w:val="00882F2C"/>
    <w:rsid w:val="00894B32"/>
    <w:rsid w:val="008B17D1"/>
    <w:rsid w:val="008E4A80"/>
    <w:rsid w:val="009D29AE"/>
    <w:rsid w:val="009E58E1"/>
    <w:rsid w:val="00AA5605"/>
    <w:rsid w:val="00AE61A2"/>
    <w:rsid w:val="00B6504B"/>
    <w:rsid w:val="00BD2E33"/>
    <w:rsid w:val="00BF272F"/>
    <w:rsid w:val="00C13C19"/>
    <w:rsid w:val="00C3432C"/>
    <w:rsid w:val="00CB5CCF"/>
    <w:rsid w:val="00D1585C"/>
    <w:rsid w:val="00D365DD"/>
    <w:rsid w:val="00E60BBF"/>
    <w:rsid w:val="00E624B5"/>
    <w:rsid w:val="00E821C7"/>
    <w:rsid w:val="00ED5EF4"/>
    <w:rsid w:val="00F4788A"/>
    <w:rsid w:val="00FA21D1"/>
    <w:rsid w:val="00FD04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916B7"/>
  <w15:chartTrackingRefBased/>
  <w15:docId w15:val="{652E9218-3A34-A045-BF55-5CC09D35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E61A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D2E33"/>
    <w:pPr>
      <w:tabs>
        <w:tab w:val="center" w:pos="4819"/>
        <w:tab w:val="right" w:pos="9638"/>
      </w:tabs>
    </w:pPr>
  </w:style>
  <w:style w:type="character" w:customStyle="1" w:styleId="IntestazioneCarattere">
    <w:name w:val="Intestazione Carattere"/>
    <w:basedOn w:val="Carpredefinitoparagrafo"/>
    <w:link w:val="Intestazione"/>
    <w:uiPriority w:val="99"/>
    <w:rsid w:val="00BD2E33"/>
  </w:style>
  <w:style w:type="paragraph" w:styleId="Pidipagina">
    <w:name w:val="footer"/>
    <w:basedOn w:val="Normale"/>
    <w:link w:val="PidipaginaCarattere"/>
    <w:uiPriority w:val="99"/>
    <w:unhideWhenUsed/>
    <w:rsid w:val="00BD2E33"/>
    <w:pPr>
      <w:tabs>
        <w:tab w:val="center" w:pos="4819"/>
        <w:tab w:val="right" w:pos="9638"/>
      </w:tabs>
    </w:pPr>
  </w:style>
  <w:style w:type="character" w:customStyle="1" w:styleId="PidipaginaCarattere">
    <w:name w:val="Piè di pagina Carattere"/>
    <w:basedOn w:val="Carpredefinitoparagrafo"/>
    <w:link w:val="Pidipagina"/>
    <w:uiPriority w:val="99"/>
    <w:rsid w:val="00BD2E33"/>
  </w:style>
  <w:style w:type="paragraph" w:styleId="NormaleWeb">
    <w:name w:val="Normal (Web)"/>
    <w:basedOn w:val="Normale"/>
    <w:uiPriority w:val="99"/>
    <w:unhideWhenUsed/>
    <w:rsid w:val="00BF272F"/>
    <w:pPr>
      <w:spacing w:before="100" w:beforeAutospacing="1" w:after="100" w:afterAutospacing="1"/>
    </w:pPr>
    <w:rPr>
      <w:rFonts w:ascii="Times New Roman" w:eastAsia="Times New Roman" w:hAnsi="Times New Roman" w:cs="Times New Roman"/>
      <w:lang w:eastAsia="it-IT"/>
    </w:rPr>
  </w:style>
  <w:style w:type="paragraph" w:styleId="Nessunaspaziatura">
    <w:name w:val="No Spacing"/>
    <w:uiPriority w:val="1"/>
    <w:qFormat/>
    <w:rsid w:val="00D1585C"/>
    <w:rPr>
      <w:sz w:val="22"/>
      <w:szCs w:val="22"/>
      <w:lang w:val="it-CH"/>
    </w:rPr>
  </w:style>
  <w:style w:type="character" w:styleId="Collegamentoipertestuale">
    <w:name w:val="Hyperlink"/>
    <w:basedOn w:val="Carpredefinitoparagrafo"/>
    <w:uiPriority w:val="99"/>
    <w:unhideWhenUsed/>
    <w:rsid w:val="0057374E"/>
    <w:rPr>
      <w:color w:val="0563C1" w:themeColor="hyperlink"/>
      <w:u w:val="single"/>
    </w:rPr>
  </w:style>
  <w:style w:type="character" w:styleId="Menzionenonrisolta">
    <w:name w:val="Unresolved Mention"/>
    <w:basedOn w:val="Carpredefinitoparagrafo"/>
    <w:uiPriority w:val="99"/>
    <w:semiHidden/>
    <w:unhideWhenUsed/>
    <w:rsid w:val="0057374E"/>
    <w:rPr>
      <w:color w:val="605E5C"/>
      <w:shd w:val="clear" w:color="auto" w:fill="E1DFDD"/>
    </w:rPr>
  </w:style>
  <w:style w:type="paragraph" w:styleId="Revisione">
    <w:name w:val="Revision"/>
    <w:hidden/>
    <w:uiPriority w:val="99"/>
    <w:semiHidden/>
    <w:rsid w:val="00E62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30405">
      <w:bodyDiv w:val="1"/>
      <w:marLeft w:val="0"/>
      <w:marRight w:val="0"/>
      <w:marTop w:val="0"/>
      <w:marBottom w:val="0"/>
      <w:divBdr>
        <w:top w:val="none" w:sz="0" w:space="0" w:color="auto"/>
        <w:left w:val="none" w:sz="0" w:space="0" w:color="auto"/>
        <w:bottom w:val="none" w:sz="0" w:space="0" w:color="auto"/>
        <w:right w:val="none" w:sz="0" w:space="0" w:color="auto"/>
      </w:divBdr>
    </w:div>
    <w:div w:id="424958613">
      <w:bodyDiv w:val="1"/>
      <w:marLeft w:val="0"/>
      <w:marRight w:val="0"/>
      <w:marTop w:val="0"/>
      <w:marBottom w:val="0"/>
      <w:divBdr>
        <w:top w:val="none" w:sz="0" w:space="0" w:color="auto"/>
        <w:left w:val="none" w:sz="0" w:space="0" w:color="auto"/>
        <w:bottom w:val="none" w:sz="0" w:space="0" w:color="auto"/>
        <w:right w:val="none" w:sz="0" w:space="0" w:color="auto"/>
      </w:divBdr>
    </w:div>
    <w:div w:id="590628964">
      <w:bodyDiv w:val="1"/>
      <w:marLeft w:val="0"/>
      <w:marRight w:val="0"/>
      <w:marTop w:val="0"/>
      <w:marBottom w:val="0"/>
      <w:divBdr>
        <w:top w:val="none" w:sz="0" w:space="0" w:color="auto"/>
        <w:left w:val="none" w:sz="0" w:space="0" w:color="auto"/>
        <w:bottom w:val="none" w:sz="0" w:space="0" w:color="auto"/>
        <w:right w:val="none" w:sz="0" w:space="0" w:color="auto"/>
      </w:divBdr>
    </w:div>
    <w:div w:id="742292771">
      <w:bodyDiv w:val="1"/>
      <w:marLeft w:val="0"/>
      <w:marRight w:val="0"/>
      <w:marTop w:val="0"/>
      <w:marBottom w:val="0"/>
      <w:divBdr>
        <w:top w:val="none" w:sz="0" w:space="0" w:color="auto"/>
        <w:left w:val="none" w:sz="0" w:space="0" w:color="auto"/>
        <w:bottom w:val="none" w:sz="0" w:space="0" w:color="auto"/>
        <w:right w:val="none" w:sz="0" w:space="0" w:color="auto"/>
      </w:divBdr>
    </w:div>
    <w:div w:id="753817662">
      <w:bodyDiv w:val="1"/>
      <w:marLeft w:val="0"/>
      <w:marRight w:val="0"/>
      <w:marTop w:val="0"/>
      <w:marBottom w:val="0"/>
      <w:divBdr>
        <w:top w:val="none" w:sz="0" w:space="0" w:color="auto"/>
        <w:left w:val="none" w:sz="0" w:space="0" w:color="auto"/>
        <w:bottom w:val="none" w:sz="0" w:space="0" w:color="auto"/>
        <w:right w:val="none" w:sz="0" w:space="0" w:color="auto"/>
      </w:divBdr>
    </w:div>
    <w:div w:id="758597254">
      <w:bodyDiv w:val="1"/>
      <w:marLeft w:val="0"/>
      <w:marRight w:val="0"/>
      <w:marTop w:val="0"/>
      <w:marBottom w:val="0"/>
      <w:divBdr>
        <w:top w:val="none" w:sz="0" w:space="0" w:color="auto"/>
        <w:left w:val="none" w:sz="0" w:space="0" w:color="auto"/>
        <w:bottom w:val="none" w:sz="0" w:space="0" w:color="auto"/>
        <w:right w:val="none" w:sz="0" w:space="0" w:color="auto"/>
      </w:divBdr>
    </w:div>
    <w:div w:id="126198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530</Words>
  <Characters>3026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Kowalcze</dc:creator>
  <cp:keywords/>
  <dc:description/>
  <cp:lastModifiedBy>Starcomunicazione</cp:lastModifiedBy>
  <cp:revision>3</cp:revision>
  <dcterms:created xsi:type="dcterms:W3CDTF">2026-01-15T11:15:00Z</dcterms:created>
  <dcterms:modified xsi:type="dcterms:W3CDTF">2026-01-15T12:11:00Z</dcterms:modified>
</cp:coreProperties>
</file>