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E1414" w14:textId="683AEB41" w:rsidR="00424F7E" w:rsidRPr="00D303F4" w:rsidRDefault="005C284A" w:rsidP="003A745A">
      <w:pPr>
        <w:spacing w:line="276" w:lineRule="auto"/>
        <w:ind w:left="142" w:right="140" w:hanging="284"/>
        <w:jc w:val="center"/>
        <w:rPr>
          <w:rFonts w:cstheme="minorHAnsi"/>
          <w:color w:val="000000" w:themeColor="text1"/>
          <w:sz w:val="24"/>
          <w:szCs w:val="24"/>
          <w:lang w:val="it-IT"/>
        </w:rPr>
      </w:pPr>
      <w:r w:rsidRPr="00D303F4">
        <w:rPr>
          <w:rFonts w:cstheme="minorHAnsi"/>
          <w:color w:val="000000" w:themeColor="text1"/>
          <w:sz w:val="24"/>
          <w:szCs w:val="24"/>
          <w:lang w:val="it-IT"/>
        </w:rPr>
        <w:t>Comunicato stampa</w:t>
      </w:r>
    </w:p>
    <w:p w14:paraId="79246A78" w14:textId="77777777" w:rsidR="0028612E" w:rsidRDefault="0028612E" w:rsidP="003A745A">
      <w:pPr>
        <w:spacing w:line="276" w:lineRule="auto"/>
        <w:ind w:left="142" w:right="140" w:hanging="284"/>
        <w:jc w:val="center"/>
        <w:rPr>
          <w:rFonts w:asciiTheme="majorBidi" w:hAnsiTheme="majorBidi" w:cstheme="majorBidi"/>
          <w:b/>
          <w:bCs/>
          <w:color w:val="1F3864" w:themeColor="accent1" w:themeShade="80"/>
          <w:sz w:val="24"/>
          <w:szCs w:val="24"/>
          <w:lang w:val="it-IT"/>
        </w:rPr>
      </w:pPr>
    </w:p>
    <w:p w14:paraId="07F6C708" w14:textId="3A5BB5BB" w:rsidR="00695A06" w:rsidRPr="00695A06" w:rsidRDefault="00695A06" w:rsidP="00695A06">
      <w:pPr>
        <w:spacing w:line="240" w:lineRule="auto"/>
        <w:ind w:left="142" w:right="140"/>
        <w:jc w:val="center"/>
        <w:rPr>
          <w:rFonts w:ascii="Arial" w:hAnsi="Arial" w:cs="Arial"/>
          <w:sz w:val="32"/>
          <w:szCs w:val="32"/>
        </w:rPr>
      </w:pPr>
      <w:r w:rsidRPr="00695A06">
        <w:rPr>
          <w:rFonts w:ascii="Arial" w:hAnsi="Arial" w:cs="Arial"/>
          <w:sz w:val="32"/>
          <w:szCs w:val="32"/>
        </w:rPr>
        <w:t>FRA DAZI, GUERRE, TASSE PUNITIVE</w:t>
      </w:r>
    </w:p>
    <w:p w14:paraId="2FD22AC6" w14:textId="19CB741B" w:rsidR="00837BF7" w:rsidRDefault="00695A06" w:rsidP="00695A06">
      <w:pPr>
        <w:spacing w:line="240" w:lineRule="auto"/>
        <w:ind w:left="142" w:right="140"/>
        <w:jc w:val="center"/>
        <w:rPr>
          <w:rFonts w:ascii="Arial" w:hAnsi="Arial" w:cs="Arial"/>
          <w:sz w:val="32"/>
          <w:szCs w:val="32"/>
        </w:rPr>
      </w:pPr>
      <w:r w:rsidRPr="00695A06">
        <w:rPr>
          <w:rFonts w:ascii="Arial" w:hAnsi="Arial" w:cs="Arial"/>
          <w:sz w:val="32"/>
          <w:szCs w:val="32"/>
        </w:rPr>
        <w:t>NOLI MARITTIMI IN UN MARE DI INCERTEZZA</w:t>
      </w:r>
    </w:p>
    <w:p w14:paraId="3166B3BD" w14:textId="77777777" w:rsidR="00695A06" w:rsidRDefault="00695A06" w:rsidP="00695A06">
      <w:pPr>
        <w:spacing w:line="240" w:lineRule="auto"/>
        <w:ind w:left="142" w:right="140"/>
        <w:jc w:val="center"/>
        <w:rPr>
          <w:rFonts w:ascii="Arial" w:hAnsi="Arial" w:cs="Arial"/>
          <w:sz w:val="32"/>
          <w:szCs w:val="32"/>
        </w:rPr>
      </w:pPr>
    </w:p>
    <w:p w14:paraId="4B235D1C" w14:textId="26B7C8B9" w:rsidR="00D303F4" w:rsidRDefault="00695A06" w:rsidP="00D303F4">
      <w:pPr>
        <w:ind w:left="142" w:right="140"/>
        <w:jc w:val="center"/>
        <w:rPr>
          <w:sz w:val="26"/>
          <w:szCs w:val="26"/>
          <w:u w:val="single"/>
        </w:rPr>
      </w:pPr>
      <w:r w:rsidRPr="00695A06">
        <w:rPr>
          <w:sz w:val="26"/>
          <w:szCs w:val="26"/>
          <w:u w:val="single"/>
        </w:rPr>
        <w:t>Durante la Genoa Shipping Week</w:t>
      </w:r>
      <w:r w:rsidR="00D303F4">
        <w:rPr>
          <w:sz w:val="26"/>
          <w:szCs w:val="26"/>
          <w:u w:val="single"/>
        </w:rPr>
        <w:t>,</w:t>
      </w:r>
      <w:r w:rsidRPr="00695A06">
        <w:rPr>
          <w:sz w:val="26"/>
          <w:szCs w:val="26"/>
          <w:u w:val="single"/>
        </w:rPr>
        <w:t xml:space="preserve"> Assagenti celebra </w:t>
      </w:r>
    </w:p>
    <w:p w14:paraId="26341B12" w14:textId="25806EB2" w:rsidR="002E097F" w:rsidRDefault="00695A06" w:rsidP="00D303F4">
      <w:pPr>
        <w:ind w:left="142" w:right="140"/>
        <w:jc w:val="center"/>
        <w:rPr>
          <w:sz w:val="26"/>
          <w:szCs w:val="26"/>
          <w:u w:val="single"/>
        </w:rPr>
      </w:pPr>
      <w:r w:rsidRPr="00695A06">
        <w:rPr>
          <w:sz w:val="26"/>
          <w:szCs w:val="26"/>
          <w:u w:val="single"/>
        </w:rPr>
        <w:t>il tradizionale appuntamento di analisi sul mercato marittimo</w:t>
      </w:r>
    </w:p>
    <w:p w14:paraId="75EFB557" w14:textId="77777777" w:rsidR="00837BF7" w:rsidRPr="0028612E" w:rsidRDefault="00837BF7" w:rsidP="003A745A">
      <w:pPr>
        <w:ind w:left="142" w:right="140"/>
        <w:jc w:val="both"/>
        <w:rPr>
          <w:sz w:val="24"/>
          <w:szCs w:val="24"/>
        </w:rPr>
      </w:pPr>
    </w:p>
    <w:p w14:paraId="13E665AC" w14:textId="64ABF6AE" w:rsidR="00A2540D" w:rsidRPr="00A2540D" w:rsidRDefault="00A2540D" w:rsidP="00A2540D">
      <w:pPr>
        <w:ind w:left="142" w:right="140"/>
        <w:jc w:val="both"/>
        <w:rPr>
          <w:sz w:val="24"/>
          <w:szCs w:val="24"/>
        </w:rPr>
      </w:pPr>
      <w:r w:rsidRPr="00A2540D">
        <w:rPr>
          <w:sz w:val="24"/>
          <w:szCs w:val="24"/>
        </w:rPr>
        <w:t>I noli, ovvero il prezzo di trasporto della merce</w:t>
      </w:r>
      <w:r>
        <w:rPr>
          <w:sz w:val="24"/>
          <w:szCs w:val="24"/>
        </w:rPr>
        <w:t>,</w:t>
      </w:r>
      <w:r w:rsidRPr="00A2540D">
        <w:rPr>
          <w:sz w:val="24"/>
          <w:szCs w:val="24"/>
        </w:rPr>
        <w:t xml:space="preserve"> anni addietro erano determinati dalle dinamiche interne del mercato. Oggi i fattori che incidono in modo spesso incontrollabile anche sulla gestione delle compagnie armatoriali sono molteplici</w:t>
      </w:r>
      <w:r>
        <w:rPr>
          <w:sz w:val="24"/>
          <w:szCs w:val="24"/>
        </w:rPr>
        <w:t>:</w:t>
      </w:r>
      <w:r w:rsidRPr="00A2540D">
        <w:rPr>
          <w:sz w:val="24"/>
          <w:szCs w:val="24"/>
        </w:rPr>
        <w:t xml:space="preserve"> vanno dalla globalizzazione alla geopolitica, dalle scelte improvvise in materia di dazi o di tassazione, nonché </w:t>
      </w:r>
      <w:r>
        <w:rPr>
          <w:sz w:val="24"/>
          <w:szCs w:val="24"/>
        </w:rPr>
        <w:t xml:space="preserve">alle </w:t>
      </w:r>
      <w:r w:rsidRPr="00A2540D">
        <w:rPr>
          <w:sz w:val="24"/>
          <w:szCs w:val="24"/>
        </w:rPr>
        <w:t>strategie di lungo periodo come l’ETS (la tassa europea sulle emissioni che condiziona i “conti” di ogni singola nave).</w:t>
      </w:r>
    </w:p>
    <w:p w14:paraId="08D72C50" w14:textId="2B1DFFDC" w:rsidR="00A2540D" w:rsidRPr="00A2540D" w:rsidRDefault="00A2540D" w:rsidP="00A2540D">
      <w:pPr>
        <w:ind w:left="142" w:right="140"/>
        <w:jc w:val="both"/>
        <w:rPr>
          <w:sz w:val="24"/>
          <w:szCs w:val="24"/>
        </w:rPr>
      </w:pPr>
      <w:r w:rsidRPr="00A2540D">
        <w:rPr>
          <w:sz w:val="24"/>
          <w:szCs w:val="24"/>
        </w:rPr>
        <w:t>Nel quadro di riferimento di un</w:t>
      </w:r>
      <w:r>
        <w:rPr>
          <w:sz w:val="24"/>
          <w:szCs w:val="24"/>
        </w:rPr>
        <w:t>’</w:t>
      </w:r>
      <w:r w:rsidRPr="00A2540D">
        <w:rPr>
          <w:sz w:val="24"/>
          <w:szCs w:val="24"/>
        </w:rPr>
        <w:t>incertezza generale, che esalta – come sottolineato da Vincenzo Romeo, C</w:t>
      </w:r>
      <w:r w:rsidR="00D303F4">
        <w:rPr>
          <w:sz w:val="24"/>
          <w:szCs w:val="24"/>
        </w:rPr>
        <w:t>EO</w:t>
      </w:r>
      <w:r w:rsidRPr="00A2540D">
        <w:rPr>
          <w:sz w:val="24"/>
          <w:szCs w:val="24"/>
        </w:rPr>
        <w:t xml:space="preserve"> di Nova</w:t>
      </w:r>
      <w:r>
        <w:rPr>
          <w:sz w:val="24"/>
          <w:szCs w:val="24"/>
        </w:rPr>
        <w:t xml:space="preserve"> </w:t>
      </w:r>
      <w:r w:rsidRPr="00A2540D">
        <w:rPr>
          <w:sz w:val="24"/>
          <w:szCs w:val="24"/>
        </w:rPr>
        <w:t xml:space="preserve">Marine Carriers – il fattore coraggio nelle scelte degli armatori, ma anche il fattore…fortuna che determina il successo di queste scelte, l’appuntamento dei giovani agenti marittimi aderenti ad Assagenti, all’interno della Genoa </w:t>
      </w:r>
      <w:r>
        <w:rPr>
          <w:sz w:val="24"/>
          <w:szCs w:val="24"/>
        </w:rPr>
        <w:t>Sh</w:t>
      </w:r>
      <w:r w:rsidRPr="00A2540D">
        <w:rPr>
          <w:sz w:val="24"/>
          <w:szCs w:val="24"/>
        </w:rPr>
        <w:t>ipping Week</w:t>
      </w:r>
      <w:r>
        <w:rPr>
          <w:sz w:val="24"/>
          <w:szCs w:val="24"/>
        </w:rPr>
        <w:t>,</w:t>
      </w:r>
      <w:r w:rsidRPr="00A2540D">
        <w:rPr>
          <w:sz w:val="24"/>
          <w:szCs w:val="24"/>
        </w:rPr>
        <w:t xml:space="preserve"> ha fatto emergere anche alcuni elementi di riflessione anche contro-corrente rispetto a convinzioni diventate nell’immaginario collettivo quasi ipotesi di lavoro.</w:t>
      </w:r>
    </w:p>
    <w:p w14:paraId="41CBAEB6" w14:textId="2234270E" w:rsidR="00A2540D" w:rsidRPr="00A2540D" w:rsidRDefault="00A2540D" w:rsidP="00A2540D">
      <w:pPr>
        <w:ind w:left="142" w:right="140"/>
        <w:jc w:val="both"/>
        <w:rPr>
          <w:sz w:val="24"/>
          <w:szCs w:val="24"/>
        </w:rPr>
      </w:pPr>
      <w:r w:rsidRPr="00A2540D">
        <w:rPr>
          <w:sz w:val="24"/>
          <w:szCs w:val="24"/>
        </w:rPr>
        <w:t>Ecco alcuni spunti evidenziati dal confronto fra operatori</w:t>
      </w:r>
      <w:r w:rsidR="00B828D2">
        <w:rPr>
          <w:sz w:val="24"/>
          <w:szCs w:val="24"/>
        </w:rPr>
        <w:t xml:space="preserve"> organizzato dal</w:t>
      </w:r>
      <w:r w:rsidR="008D5C86">
        <w:rPr>
          <w:sz w:val="24"/>
          <w:szCs w:val="24"/>
        </w:rPr>
        <w:t xml:space="preserve"> Gruppo Giovani di Assagenti</w:t>
      </w:r>
      <w:r w:rsidR="00B828D2">
        <w:rPr>
          <w:sz w:val="24"/>
          <w:szCs w:val="24"/>
        </w:rPr>
        <w:t xml:space="preserve"> presieduto da Lorenzo Giacobbe</w:t>
      </w:r>
      <w:r>
        <w:rPr>
          <w:sz w:val="24"/>
          <w:szCs w:val="24"/>
        </w:rPr>
        <w:t>,</w:t>
      </w:r>
      <w:r w:rsidRPr="00A2540D">
        <w:rPr>
          <w:sz w:val="24"/>
          <w:szCs w:val="24"/>
        </w:rPr>
        <w:t xml:space="preserve"> e rimarcati</w:t>
      </w:r>
      <w:r w:rsidR="00B828D2">
        <w:rPr>
          <w:sz w:val="24"/>
          <w:szCs w:val="24"/>
        </w:rPr>
        <w:t xml:space="preserve"> nei vari interventi di Enrico Paglia (</w:t>
      </w:r>
      <w:proofErr w:type="spellStart"/>
      <w:r w:rsidR="00B828D2">
        <w:rPr>
          <w:sz w:val="24"/>
          <w:szCs w:val="24"/>
        </w:rPr>
        <w:t>Bancosta</w:t>
      </w:r>
      <w:proofErr w:type="spellEnd"/>
      <w:r w:rsidR="00B828D2">
        <w:rPr>
          <w:sz w:val="24"/>
          <w:szCs w:val="24"/>
        </w:rPr>
        <w:t xml:space="preserve">), Carlo </w:t>
      </w:r>
      <w:proofErr w:type="spellStart"/>
      <w:r w:rsidR="00B828D2">
        <w:rPr>
          <w:sz w:val="24"/>
          <w:szCs w:val="24"/>
        </w:rPr>
        <w:t>Binello</w:t>
      </w:r>
      <w:proofErr w:type="spellEnd"/>
      <w:r w:rsidR="00B828D2">
        <w:rPr>
          <w:sz w:val="24"/>
          <w:szCs w:val="24"/>
        </w:rPr>
        <w:t xml:space="preserve"> (</w:t>
      </w:r>
      <w:proofErr w:type="spellStart"/>
      <w:r w:rsidR="00B828D2">
        <w:rPr>
          <w:sz w:val="24"/>
          <w:szCs w:val="24"/>
        </w:rPr>
        <w:t>CMA-CGM</w:t>
      </w:r>
      <w:proofErr w:type="spellEnd"/>
      <w:r w:rsidR="00930193">
        <w:rPr>
          <w:sz w:val="24"/>
          <w:szCs w:val="24"/>
        </w:rPr>
        <w:t xml:space="preserve"> Italia</w:t>
      </w:r>
      <w:r w:rsidR="00B828D2">
        <w:rPr>
          <w:sz w:val="24"/>
          <w:szCs w:val="24"/>
        </w:rPr>
        <w:t>), Andrea Arena (</w:t>
      </w:r>
      <w:proofErr w:type="spellStart"/>
      <w:r w:rsidR="00B828D2">
        <w:rPr>
          <w:sz w:val="24"/>
          <w:szCs w:val="24"/>
        </w:rPr>
        <w:t>HB</w:t>
      </w:r>
      <w:proofErr w:type="spellEnd"/>
      <w:r w:rsidR="00B828D2">
        <w:rPr>
          <w:sz w:val="24"/>
          <w:szCs w:val="24"/>
        </w:rPr>
        <w:t xml:space="preserve"> </w:t>
      </w:r>
      <w:proofErr w:type="spellStart"/>
      <w:r w:rsidR="00B828D2">
        <w:rPr>
          <w:sz w:val="24"/>
          <w:szCs w:val="24"/>
        </w:rPr>
        <w:t>Shippnig</w:t>
      </w:r>
      <w:proofErr w:type="spellEnd"/>
      <w:r w:rsidR="00B828D2">
        <w:rPr>
          <w:sz w:val="24"/>
          <w:szCs w:val="24"/>
        </w:rPr>
        <w:t>)</w:t>
      </w:r>
      <w:r>
        <w:rPr>
          <w:sz w:val="24"/>
          <w:szCs w:val="24"/>
        </w:rPr>
        <w:t>,</w:t>
      </w:r>
      <w:r w:rsidR="00B828D2">
        <w:rPr>
          <w:sz w:val="24"/>
          <w:szCs w:val="24"/>
        </w:rPr>
        <w:t xml:space="preserve"> Giulia Malnati (</w:t>
      </w:r>
      <w:proofErr w:type="spellStart"/>
      <w:r w:rsidR="00B828D2">
        <w:rPr>
          <w:sz w:val="24"/>
          <w:szCs w:val="24"/>
        </w:rPr>
        <w:t>NYK</w:t>
      </w:r>
      <w:proofErr w:type="spellEnd"/>
      <w:r w:rsidR="00930193">
        <w:rPr>
          <w:sz w:val="24"/>
          <w:szCs w:val="24"/>
        </w:rPr>
        <w:t xml:space="preserve"> Line</w:t>
      </w:r>
      <w:r w:rsidR="00B828D2">
        <w:rPr>
          <w:sz w:val="24"/>
          <w:szCs w:val="24"/>
        </w:rPr>
        <w:t xml:space="preserve">) e Tommaso Scolaro (Scolaro </w:t>
      </w:r>
      <w:proofErr w:type="spellStart"/>
      <w:r w:rsidR="00B828D2">
        <w:rPr>
          <w:sz w:val="24"/>
          <w:szCs w:val="24"/>
        </w:rPr>
        <w:t>Shipbrokers</w:t>
      </w:r>
      <w:proofErr w:type="spellEnd"/>
      <w:r w:rsidR="00B828D2">
        <w:rPr>
          <w:sz w:val="24"/>
          <w:szCs w:val="24"/>
        </w:rPr>
        <w:t>)</w:t>
      </w:r>
      <w:r w:rsidRPr="00A2540D">
        <w:rPr>
          <w:sz w:val="24"/>
          <w:szCs w:val="24"/>
        </w:rPr>
        <w:t xml:space="preserve"> </w:t>
      </w:r>
      <w:r w:rsidR="00B828D2">
        <w:rPr>
          <w:sz w:val="24"/>
          <w:szCs w:val="24"/>
        </w:rPr>
        <w:t xml:space="preserve">moderati da </w:t>
      </w:r>
      <w:r w:rsidR="00B828D2" w:rsidRPr="00A2540D">
        <w:rPr>
          <w:sz w:val="24"/>
          <w:szCs w:val="24"/>
        </w:rPr>
        <w:t>Gian Enzo Duci</w:t>
      </w:r>
      <w:r w:rsidR="00B828D2">
        <w:rPr>
          <w:sz w:val="24"/>
          <w:szCs w:val="24"/>
        </w:rPr>
        <w:t>,</w:t>
      </w:r>
      <w:r w:rsidR="00B828D2" w:rsidRPr="00A2540D">
        <w:rPr>
          <w:sz w:val="24"/>
          <w:szCs w:val="24"/>
        </w:rPr>
        <w:t xml:space="preserve"> </w:t>
      </w:r>
      <w:r w:rsidRPr="00A2540D">
        <w:rPr>
          <w:sz w:val="24"/>
          <w:szCs w:val="24"/>
        </w:rPr>
        <w:t>nel suo duplice ruolo di imprenditore marittimo e docente universitario</w:t>
      </w:r>
      <w:r>
        <w:rPr>
          <w:sz w:val="24"/>
          <w:szCs w:val="24"/>
        </w:rPr>
        <w:t>.</w:t>
      </w:r>
    </w:p>
    <w:p w14:paraId="3C40D21B" w14:textId="77777777" w:rsidR="00D303F4" w:rsidRDefault="00A2540D" w:rsidP="00D303F4">
      <w:pPr>
        <w:ind w:left="142" w:right="140"/>
        <w:jc w:val="both"/>
        <w:rPr>
          <w:sz w:val="24"/>
          <w:szCs w:val="24"/>
        </w:rPr>
      </w:pPr>
      <w:r w:rsidRPr="00A2540D">
        <w:rPr>
          <w:sz w:val="24"/>
          <w:szCs w:val="24"/>
        </w:rPr>
        <w:t>La tanto temuta rotta artica</w:t>
      </w:r>
      <w:r>
        <w:rPr>
          <w:sz w:val="24"/>
          <w:szCs w:val="24"/>
        </w:rPr>
        <w:t>,</w:t>
      </w:r>
      <w:r w:rsidRPr="00A2540D">
        <w:rPr>
          <w:sz w:val="24"/>
          <w:szCs w:val="24"/>
        </w:rPr>
        <w:t xml:space="preserve"> che dovrebbe consentire alle navi (specie cinesi e russe) di tagliare i tempi di trasporto delle merci transitando fra i ghiacci dell’Artico, ha visto nel 2024 transitare una novantina di navi contro le oltre 12.000 che hanno seguito la tradizionale rotta di Suez, anche se “azzoppata” dal pericolo degli attacchi Houthi.</w:t>
      </w:r>
    </w:p>
    <w:p w14:paraId="660C2F87" w14:textId="77777777" w:rsidR="00D303F4" w:rsidRDefault="00D303F4" w:rsidP="00D303F4">
      <w:pPr>
        <w:ind w:left="142" w:right="140"/>
        <w:jc w:val="both"/>
        <w:rPr>
          <w:sz w:val="24"/>
          <w:szCs w:val="24"/>
        </w:rPr>
      </w:pPr>
    </w:p>
    <w:p w14:paraId="10322679" w14:textId="77777777" w:rsidR="00D303F4" w:rsidRDefault="00D303F4" w:rsidP="00D303F4">
      <w:pPr>
        <w:ind w:left="142" w:right="140"/>
        <w:jc w:val="both"/>
        <w:rPr>
          <w:sz w:val="24"/>
          <w:szCs w:val="24"/>
        </w:rPr>
      </w:pPr>
    </w:p>
    <w:p w14:paraId="4810E60E" w14:textId="7C8833A4" w:rsidR="00A2540D" w:rsidRPr="00A2540D" w:rsidRDefault="00A2540D" w:rsidP="00D303F4">
      <w:pPr>
        <w:ind w:left="142" w:right="140"/>
        <w:jc w:val="both"/>
        <w:rPr>
          <w:sz w:val="24"/>
          <w:szCs w:val="24"/>
        </w:rPr>
      </w:pPr>
      <w:r w:rsidRPr="00A2540D">
        <w:rPr>
          <w:sz w:val="24"/>
          <w:szCs w:val="24"/>
        </w:rPr>
        <w:lastRenderedPageBreak/>
        <w:t xml:space="preserve">La </w:t>
      </w:r>
      <w:proofErr w:type="spellStart"/>
      <w:r w:rsidRPr="00A2540D">
        <w:rPr>
          <w:sz w:val="24"/>
          <w:szCs w:val="24"/>
        </w:rPr>
        <w:t>shadow</w:t>
      </w:r>
      <w:proofErr w:type="spellEnd"/>
      <w:r w:rsidRPr="00A2540D">
        <w:rPr>
          <w:sz w:val="24"/>
          <w:szCs w:val="24"/>
        </w:rPr>
        <w:t xml:space="preserve"> fleet di navi petroliere russe che aggirano le sanzioni rappresenta il 15% della flotta mondiale di navi cisterna.</w:t>
      </w:r>
    </w:p>
    <w:p w14:paraId="4B56802D" w14:textId="7FF2B45F" w:rsidR="00A2540D" w:rsidRPr="00A2540D" w:rsidRDefault="00A2540D" w:rsidP="00A2540D">
      <w:pPr>
        <w:ind w:left="142" w:right="140"/>
        <w:jc w:val="both"/>
        <w:rPr>
          <w:sz w:val="24"/>
          <w:szCs w:val="24"/>
        </w:rPr>
      </w:pPr>
      <w:r w:rsidRPr="00A2540D">
        <w:rPr>
          <w:sz w:val="24"/>
          <w:szCs w:val="24"/>
        </w:rPr>
        <w:t xml:space="preserve">Nel mercato del trasporto auto, dove la Cina da </w:t>
      </w:r>
      <w:r w:rsidR="00CF2F8E">
        <w:rPr>
          <w:sz w:val="24"/>
          <w:szCs w:val="24"/>
        </w:rPr>
        <w:t>g</w:t>
      </w:r>
      <w:r w:rsidRPr="00A2540D">
        <w:rPr>
          <w:sz w:val="24"/>
          <w:szCs w:val="24"/>
        </w:rPr>
        <w:t>rande importatore si è trasformato</w:t>
      </w:r>
      <w:r w:rsidR="00CF2F8E">
        <w:rPr>
          <w:sz w:val="24"/>
          <w:szCs w:val="24"/>
        </w:rPr>
        <w:t>,</w:t>
      </w:r>
      <w:r w:rsidRPr="00A2540D">
        <w:rPr>
          <w:sz w:val="24"/>
          <w:szCs w:val="24"/>
        </w:rPr>
        <w:t xml:space="preserve"> anche grazie alle politiche suicide del gree</w:t>
      </w:r>
      <w:r w:rsidR="00CF2F8E">
        <w:rPr>
          <w:sz w:val="24"/>
          <w:szCs w:val="24"/>
        </w:rPr>
        <w:t>n</w:t>
      </w:r>
      <w:r w:rsidRPr="00A2540D">
        <w:rPr>
          <w:sz w:val="24"/>
          <w:szCs w:val="24"/>
        </w:rPr>
        <w:t xml:space="preserve">, in grande esportatore, le navi che hanno raddoppiato dimensione e portata (da 4.000 a oltre 9.000 auto) sono sempre più spesso di proprietà delle case produttrici e quindi del </w:t>
      </w:r>
      <w:r w:rsidR="00CF2F8E">
        <w:rPr>
          <w:sz w:val="24"/>
          <w:szCs w:val="24"/>
        </w:rPr>
        <w:t>G</w:t>
      </w:r>
      <w:r w:rsidRPr="00A2540D">
        <w:rPr>
          <w:sz w:val="24"/>
          <w:szCs w:val="24"/>
        </w:rPr>
        <w:t>overno cinese, il cui interesse preponderante è la penetrazione sui mercati occidentali con il nolo considerato una variabile indipendente.</w:t>
      </w:r>
    </w:p>
    <w:p w14:paraId="50801710" w14:textId="79E16FF0" w:rsidR="00A2540D" w:rsidRPr="00A2540D" w:rsidRDefault="00A2540D" w:rsidP="00A2540D">
      <w:pPr>
        <w:ind w:left="142" w:right="140"/>
        <w:jc w:val="both"/>
        <w:rPr>
          <w:sz w:val="24"/>
          <w:szCs w:val="24"/>
        </w:rPr>
      </w:pPr>
      <w:r w:rsidRPr="00A2540D">
        <w:rPr>
          <w:sz w:val="24"/>
          <w:szCs w:val="24"/>
        </w:rPr>
        <w:t>Il mondo del trasporto container, protagonista negli anni recenti di clamorose performance di redditività, va incontro a tutta velocità a un</w:t>
      </w:r>
      <w:r w:rsidR="00CF2F8E">
        <w:rPr>
          <w:sz w:val="24"/>
          <w:szCs w:val="24"/>
        </w:rPr>
        <w:t>o</w:t>
      </w:r>
      <w:r w:rsidRPr="00A2540D">
        <w:rPr>
          <w:sz w:val="24"/>
          <w:szCs w:val="24"/>
        </w:rPr>
        <w:t xml:space="preserve"> squilibrio fra domanda e offerta di servizio di trasporto. Il primo colpo alla redditività del settore potrebbe essere impresso dalla riapertura a pieno regime di Suez, quindi dal numero bassissimo di navi demolite a fronte della massiccia entrat</w:t>
      </w:r>
      <w:r w:rsidR="00CF2F8E">
        <w:rPr>
          <w:sz w:val="24"/>
          <w:szCs w:val="24"/>
        </w:rPr>
        <w:t>a</w:t>
      </w:r>
      <w:r w:rsidRPr="00A2540D">
        <w:rPr>
          <w:sz w:val="24"/>
          <w:szCs w:val="24"/>
        </w:rPr>
        <w:t xml:space="preserve"> in servizio di nuove unità a cavallo fra il 2026 e il 2027. Ciò – come sottolineato dal Presidente di Federagenti, Paolo Pessina</w:t>
      </w:r>
      <w:r w:rsidR="00D303F4">
        <w:rPr>
          <w:sz w:val="24"/>
          <w:szCs w:val="24"/>
        </w:rPr>
        <w:t xml:space="preserve"> </w:t>
      </w:r>
      <w:r w:rsidR="00D303F4" w:rsidRPr="00A2540D">
        <w:rPr>
          <w:sz w:val="24"/>
          <w:szCs w:val="24"/>
        </w:rPr>
        <w:t>–</w:t>
      </w:r>
      <w:r w:rsidR="00D303F4">
        <w:rPr>
          <w:sz w:val="24"/>
          <w:szCs w:val="24"/>
        </w:rPr>
        <w:t xml:space="preserve"> </w:t>
      </w:r>
      <w:r w:rsidRPr="00A2540D">
        <w:rPr>
          <w:sz w:val="24"/>
          <w:szCs w:val="24"/>
        </w:rPr>
        <w:t>in un mercato che già oggi soffre le conseguenze di fenomeni di congestione portuale e che “forse non è mai riuscito a spiegare a fondo ai decisori pubblici, specie a Bruxelles, il livello dei danni che normative sbagliate possono produrre”.</w:t>
      </w:r>
    </w:p>
    <w:p w14:paraId="5D019D0C" w14:textId="56CCC9F9" w:rsidR="00A2540D" w:rsidRPr="00A2540D" w:rsidRDefault="00CF2F8E" w:rsidP="00A2540D">
      <w:pPr>
        <w:ind w:left="142" w:right="140"/>
        <w:jc w:val="both"/>
        <w:rPr>
          <w:sz w:val="24"/>
          <w:szCs w:val="24"/>
        </w:rPr>
      </w:pPr>
      <w:r>
        <w:rPr>
          <w:sz w:val="24"/>
          <w:szCs w:val="24"/>
        </w:rPr>
        <w:t>“</w:t>
      </w:r>
      <w:r w:rsidR="00A2540D" w:rsidRPr="00A2540D">
        <w:rPr>
          <w:sz w:val="24"/>
          <w:szCs w:val="24"/>
        </w:rPr>
        <w:t xml:space="preserve">Un mercato fragile e delicato che – come affermato da Stefano Messina, </w:t>
      </w:r>
      <w:r>
        <w:rPr>
          <w:sz w:val="24"/>
          <w:szCs w:val="24"/>
        </w:rPr>
        <w:t>P</w:t>
      </w:r>
      <w:r w:rsidR="00A2540D" w:rsidRPr="00A2540D">
        <w:rPr>
          <w:sz w:val="24"/>
          <w:szCs w:val="24"/>
        </w:rPr>
        <w:t>residente di Assarmatori – fatica sempre di più ad attirare capitali e finanza, tenuti lontani dall’assenza di certezze sul loro investimento”</w:t>
      </w:r>
      <w:r>
        <w:rPr>
          <w:sz w:val="24"/>
          <w:szCs w:val="24"/>
        </w:rPr>
        <w:t>.</w:t>
      </w:r>
    </w:p>
    <w:p w14:paraId="3C36A223" w14:textId="6EFAA83A" w:rsidR="005C284A" w:rsidRPr="0028612E" w:rsidRDefault="00A2540D" w:rsidP="00D303F4">
      <w:pPr>
        <w:ind w:left="142" w:right="140"/>
        <w:jc w:val="both"/>
        <w:rPr>
          <w:sz w:val="24"/>
          <w:szCs w:val="24"/>
        </w:rPr>
      </w:pPr>
      <w:r w:rsidRPr="00A2540D">
        <w:rPr>
          <w:sz w:val="24"/>
          <w:szCs w:val="24"/>
        </w:rPr>
        <w:t xml:space="preserve">Sotto la lente del convegno svoltosi ieri a Genova, è finito anche il comparto dei traghetti e dei collegamenti di cabotaggio ad esempio con le isole; settore nel quale il pubblico ha clamorosamente fallito tutte le volte che ha pensato di potere gestire autonomamente questi collegamenti e dove oggi si pone il problema di rinnovare flotte e garantire remuneratività a quelle società private che tengono in piedi l’intera rete di collegamenti garantendo anche la </w:t>
      </w:r>
      <w:r>
        <w:rPr>
          <w:sz w:val="24"/>
          <w:szCs w:val="24"/>
        </w:rPr>
        <w:t>co</w:t>
      </w:r>
      <w:r w:rsidRPr="00A2540D">
        <w:rPr>
          <w:sz w:val="24"/>
          <w:szCs w:val="24"/>
        </w:rPr>
        <w:t>ntinuità territoriale.</w:t>
      </w:r>
      <w:r w:rsidR="008D5C86">
        <w:rPr>
          <w:sz w:val="24"/>
          <w:szCs w:val="24"/>
        </w:rPr>
        <w:t xml:space="preserve"> In un mercato – come rimarcato da Aldo Negri – in cui i biglietti passeggeri o i noli, specie nei collegamenti con isole minori o comunque di corto raggio – non sono sufficienti talora a coprire i costi di esercizio, men che meno l’investimento in nuove navi, per altro in un mercato delle second hand </w:t>
      </w:r>
      <w:proofErr w:type="spellStart"/>
      <w:r w:rsidR="008D5C86">
        <w:rPr>
          <w:sz w:val="24"/>
          <w:szCs w:val="24"/>
        </w:rPr>
        <w:t>ships</w:t>
      </w:r>
      <w:proofErr w:type="spellEnd"/>
      <w:r w:rsidR="008D5C86">
        <w:rPr>
          <w:sz w:val="24"/>
          <w:szCs w:val="24"/>
        </w:rPr>
        <w:t xml:space="preserve"> che non esiste.</w:t>
      </w:r>
    </w:p>
    <w:p w14:paraId="16F6FCD2" w14:textId="77777777" w:rsidR="005C284A" w:rsidRPr="0028612E" w:rsidRDefault="005C284A" w:rsidP="003A745A">
      <w:pPr>
        <w:ind w:left="142" w:right="140"/>
        <w:jc w:val="both"/>
        <w:rPr>
          <w:sz w:val="24"/>
          <w:szCs w:val="24"/>
        </w:rPr>
      </w:pPr>
    </w:p>
    <w:p w14:paraId="4D885153" w14:textId="1D36BF5A" w:rsidR="00FB5EE9" w:rsidRPr="003A745A" w:rsidRDefault="00FB5EE9" w:rsidP="00FB5EE9">
      <w:pPr>
        <w:ind w:left="142" w:right="140"/>
        <w:jc w:val="right"/>
        <w:rPr>
          <w:rFonts w:cstheme="minorHAnsi"/>
          <w:i/>
          <w:sz w:val="24"/>
          <w:szCs w:val="24"/>
        </w:rPr>
      </w:pPr>
      <w:r>
        <w:rPr>
          <w:rFonts w:cstheme="minorHAnsi"/>
          <w:i/>
          <w:sz w:val="24"/>
          <w:szCs w:val="24"/>
        </w:rPr>
        <w:t xml:space="preserve">Genova, </w:t>
      </w:r>
      <w:r w:rsidR="00837BF7">
        <w:rPr>
          <w:rFonts w:cstheme="minorHAnsi"/>
          <w:i/>
          <w:sz w:val="24"/>
          <w:szCs w:val="24"/>
        </w:rPr>
        <w:t>1</w:t>
      </w:r>
      <w:r w:rsidR="00A2540D">
        <w:rPr>
          <w:rFonts w:cstheme="minorHAnsi"/>
          <w:i/>
          <w:sz w:val="24"/>
          <w:szCs w:val="24"/>
        </w:rPr>
        <w:t>4</w:t>
      </w:r>
      <w:r>
        <w:rPr>
          <w:rFonts w:cstheme="minorHAnsi"/>
          <w:i/>
          <w:sz w:val="24"/>
          <w:szCs w:val="24"/>
        </w:rPr>
        <w:t xml:space="preserve"> ottobre 2025</w:t>
      </w:r>
    </w:p>
    <w:p w14:paraId="21B2B4B0" w14:textId="77777777" w:rsidR="003A745A" w:rsidRDefault="003A745A" w:rsidP="003A745A">
      <w:pPr>
        <w:ind w:left="142" w:right="140"/>
        <w:rPr>
          <w:rFonts w:ascii="Arial" w:hAnsi="Arial" w:cs="Arial"/>
          <w:i/>
          <w:sz w:val="20"/>
          <w:szCs w:val="20"/>
        </w:rPr>
      </w:pPr>
    </w:p>
    <w:p w14:paraId="5FCA7DB5" w14:textId="77777777" w:rsidR="003A745A" w:rsidRPr="003A745A" w:rsidRDefault="003A745A" w:rsidP="00D303F4">
      <w:pPr>
        <w:ind w:left="142" w:right="140"/>
        <w:rPr>
          <w:rFonts w:cstheme="minorHAnsi"/>
          <w:i/>
          <w:sz w:val="24"/>
          <w:szCs w:val="24"/>
        </w:rPr>
      </w:pPr>
      <w:r w:rsidRPr="003A745A">
        <w:rPr>
          <w:rFonts w:cstheme="minorHAnsi"/>
          <w:i/>
          <w:sz w:val="24"/>
          <w:szCs w:val="24"/>
        </w:rPr>
        <w:t xml:space="preserve">Per ulteriori informazioni: </w:t>
      </w:r>
    </w:p>
    <w:p w14:paraId="1869195A" w14:textId="038B289B" w:rsidR="005C284A" w:rsidRPr="005C284A" w:rsidRDefault="003A745A" w:rsidP="00D303F4">
      <w:pPr>
        <w:spacing w:line="360" w:lineRule="auto"/>
        <w:ind w:left="142" w:right="140"/>
        <w:rPr>
          <w:rFonts w:cstheme="minorHAnsi"/>
          <w:b/>
          <w:bCs/>
          <w:color w:val="EE0000"/>
        </w:rPr>
      </w:pPr>
      <w:r w:rsidRPr="003A745A">
        <w:rPr>
          <w:rFonts w:cstheme="minorHAnsi"/>
          <w:sz w:val="24"/>
          <w:szCs w:val="24"/>
        </w:rPr>
        <w:t>Barbara Gazzale</w:t>
      </w:r>
      <w:r w:rsidR="00D303F4">
        <w:rPr>
          <w:rFonts w:cstheme="minorHAnsi"/>
          <w:sz w:val="24"/>
          <w:szCs w:val="24"/>
        </w:rPr>
        <w:br/>
      </w:r>
      <w:r w:rsidRPr="003A745A">
        <w:rPr>
          <w:rFonts w:cstheme="minorHAnsi"/>
          <w:sz w:val="24"/>
          <w:szCs w:val="24"/>
        </w:rPr>
        <w:t>+39 348 4144780 / +41 786433361</w:t>
      </w:r>
    </w:p>
    <w:sectPr w:rsidR="005C284A" w:rsidRPr="005C284A" w:rsidSect="00D303F4">
      <w:headerReference w:type="default" r:id="rId8"/>
      <w:footerReference w:type="default" r:id="rId9"/>
      <w:pgSz w:w="11906" w:h="16838"/>
      <w:pgMar w:top="3119" w:right="1134" w:bottom="1418" w:left="1134" w:header="0" w:footer="8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506D" w14:textId="77777777" w:rsidR="00D91C58" w:rsidRDefault="00D91C58" w:rsidP="00D72266">
      <w:pPr>
        <w:spacing w:after="0" w:line="240" w:lineRule="auto"/>
      </w:pPr>
      <w:r>
        <w:separator/>
      </w:r>
    </w:p>
  </w:endnote>
  <w:endnote w:type="continuationSeparator" w:id="0">
    <w:p w14:paraId="5216A1C2" w14:textId="77777777" w:rsidR="00D91C58" w:rsidRDefault="00D91C58" w:rsidP="00D72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45FAC1" w14:textId="6B894921" w:rsidR="0045390E" w:rsidRDefault="0045390E" w:rsidP="0045390E">
    <w:pPr>
      <w:pStyle w:val="Pidipagina"/>
    </w:pPr>
  </w:p>
  <w:p w14:paraId="02185B89" w14:textId="56AB18CB" w:rsidR="0045390E" w:rsidRPr="0045390E" w:rsidRDefault="0045390E" w:rsidP="0045390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74460" w14:textId="77777777" w:rsidR="00D91C58" w:rsidRDefault="00D91C58" w:rsidP="00D72266">
      <w:pPr>
        <w:spacing w:after="0" w:line="240" w:lineRule="auto"/>
      </w:pPr>
      <w:r>
        <w:separator/>
      </w:r>
    </w:p>
  </w:footnote>
  <w:footnote w:type="continuationSeparator" w:id="0">
    <w:p w14:paraId="60455112" w14:textId="77777777" w:rsidR="00D91C58" w:rsidRDefault="00D91C58" w:rsidP="00D72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9EC81" w14:textId="1DEF6539" w:rsidR="00D72266" w:rsidRDefault="00695A06" w:rsidP="00D72266">
    <w:pPr>
      <w:pStyle w:val="Intestazione"/>
      <w:ind w:hanging="1134"/>
    </w:pPr>
    <w:r>
      <w:rPr>
        <w:rFonts w:cstheme="minorHAnsi"/>
        <w:b/>
        <w:bCs/>
        <w:noProof/>
        <w:color w:val="4472C4" w:themeColor="accent1"/>
        <w:sz w:val="28"/>
        <w:szCs w:val="28"/>
        <w:lang w:val="it-IT"/>
      </w:rPr>
      <w:drawing>
        <wp:anchor distT="0" distB="0" distL="114300" distR="114300" simplePos="0" relativeHeight="251662336" behindDoc="0" locked="0" layoutInCell="1" allowOverlap="1" wp14:anchorId="7CC2EF98" wp14:editId="6BF79FDC">
          <wp:simplePos x="0" y="0"/>
          <wp:positionH relativeFrom="column">
            <wp:posOffset>4832985</wp:posOffset>
          </wp:positionH>
          <wp:positionV relativeFrom="paragraph">
            <wp:posOffset>361950</wp:posOffset>
          </wp:positionV>
          <wp:extent cx="1477755" cy="1457325"/>
          <wp:effectExtent l="0" t="0" r="8255" b="0"/>
          <wp:wrapSquare wrapText="bothSides"/>
          <wp:docPr id="1982722869"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95649" name="Immagine 1278595649"/>
                  <pic:cNvPicPr/>
                </pic:nvPicPr>
                <pic:blipFill>
                  <a:blip r:embed="rId1">
                    <a:extLst>
                      <a:ext uri="{28A0092B-C50C-407E-A947-70E740481C1C}">
                        <a14:useLocalDpi xmlns:a14="http://schemas.microsoft.com/office/drawing/2010/main" val="0"/>
                      </a:ext>
                    </a:extLst>
                  </a:blip>
                  <a:stretch>
                    <a:fillRect/>
                  </a:stretch>
                </pic:blipFill>
                <pic:spPr>
                  <a:xfrm>
                    <a:off x="0" y="0"/>
                    <a:ext cx="1477755" cy="1457325"/>
                  </a:xfrm>
                  <a:prstGeom prst="rect">
                    <a:avLst/>
                  </a:prstGeom>
                </pic:spPr>
              </pic:pic>
            </a:graphicData>
          </a:graphic>
        </wp:anchor>
      </w:drawing>
    </w:r>
    <w:r>
      <w:rPr>
        <w:rFonts w:cstheme="minorHAnsi"/>
        <w:b/>
        <w:bCs/>
        <w:noProof/>
        <w:color w:val="4472C4" w:themeColor="accent1"/>
        <w:sz w:val="28"/>
        <w:szCs w:val="28"/>
        <w:lang w:val="it-IT"/>
      </w:rPr>
      <w:drawing>
        <wp:anchor distT="0" distB="0" distL="114300" distR="114300" simplePos="0" relativeHeight="251661312" behindDoc="0" locked="0" layoutInCell="1" allowOverlap="1" wp14:anchorId="41FA56B2" wp14:editId="37DAA699">
          <wp:simplePos x="0" y="0"/>
          <wp:positionH relativeFrom="margin">
            <wp:posOffset>-177165</wp:posOffset>
          </wp:positionH>
          <wp:positionV relativeFrom="paragraph">
            <wp:posOffset>447675</wp:posOffset>
          </wp:positionV>
          <wp:extent cx="2466975" cy="1106047"/>
          <wp:effectExtent l="0" t="0" r="0" b="0"/>
          <wp:wrapNone/>
          <wp:docPr id="178401939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71762" name="Immagine 140671762"/>
                  <pic:cNvPicPr/>
                </pic:nvPicPr>
                <pic:blipFill>
                  <a:blip r:embed="rId2" cstate="print">
                    <a:extLst>
                      <a:ext uri="{28A0092B-C50C-407E-A947-70E740481C1C}">
                        <a14:useLocalDpi xmlns:a14="http://schemas.microsoft.com/office/drawing/2010/main" val="0"/>
                      </a:ext>
                    </a:extLst>
                  </a:blip>
                  <a:stretch>
                    <a:fillRect/>
                  </a:stretch>
                </pic:blipFill>
                <pic:spPr>
                  <a:xfrm>
                    <a:off x="0" y="0"/>
                    <a:ext cx="2466975" cy="110604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F6E7C"/>
    <w:multiLevelType w:val="hybridMultilevel"/>
    <w:tmpl w:val="9B7C66D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28A73C0B"/>
    <w:multiLevelType w:val="hybridMultilevel"/>
    <w:tmpl w:val="448C339C"/>
    <w:lvl w:ilvl="0" w:tplc="08100011">
      <w:start w:val="3"/>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2" w15:restartNumberingAfterBreak="0">
    <w:nsid w:val="3F2B1257"/>
    <w:multiLevelType w:val="hybridMultilevel"/>
    <w:tmpl w:val="AD4E3A8E"/>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3" w15:restartNumberingAfterBreak="0">
    <w:nsid w:val="422B24B6"/>
    <w:multiLevelType w:val="hybridMultilevel"/>
    <w:tmpl w:val="463E4FC6"/>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4" w15:restartNumberingAfterBreak="0">
    <w:nsid w:val="4B820FB6"/>
    <w:multiLevelType w:val="hybridMultilevel"/>
    <w:tmpl w:val="44362172"/>
    <w:lvl w:ilvl="0" w:tplc="08100011">
      <w:start w:val="1"/>
      <w:numFmt w:val="decimal"/>
      <w:lvlText w:val="%1)"/>
      <w:lvlJc w:val="left"/>
      <w:pPr>
        <w:ind w:left="720" w:hanging="360"/>
      </w:pPr>
      <w:rPr>
        <w:rFonts w:hint="default"/>
      </w:rPr>
    </w:lvl>
    <w:lvl w:ilvl="1" w:tplc="08100019" w:tentative="1">
      <w:start w:val="1"/>
      <w:numFmt w:val="lowerLetter"/>
      <w:lvlText w:val="%2."/>
      <w:lvlJc w:val="left"/>
      <w:pPr>
        <w:ind w:left="1440" w:hanging="360"/>
      </w:pPr>
    </w:lvl>
    <w:lvl w:ilvl="2" w:tplc="0810001B" w:tentative="1">
      <w:start w:val="1"/>
      <w:numFmt w:val="lowerRoman"/>
      <w:lvlText w:val="%3."/>
      <w:lvlJc w:val="right"/>
      <w:pPr>
        <w:ind w:left="2160" w:hanging="180"/>
      </w:pPr>
    </w:lvl>
    <w:lvl w:ilvl="3" w:tplc="0810000F" w:tentative="1">
      <w:start w:val="1"/>
      <w:numFmt w:val="decimal"/>
      <w:lvlText w:val="%4."/>
      <w:lvlJc w:val="left"/>
      <w:pPr>
        <w:ind w:left="2880" w:hanging="360"/>
      </w:pPr>
    </w:lvl>
    <w:lvl w:ilvl="4" w:tplc="08100019" w:tentative="1">
      <w:start w:val="1"/>
      <w:numFmt w:val="lowerLetter"/>
      <w:lvlText w:val="%5."/>
      <w:lvlJc w:val="left"/>
      <w:pPr>
        <w:ind w:left="3600" w:hanging="360"/>
      </w:pPr>
    </w:lvl>
    <w:lvl w:ilvl="5" w:tplc="0810001B" w:tentative="1">
      <w:start w:val="1"/>
      <w:numFmt w:val="lowerRoman"/>
      <w:lvlText w:val="%6."/>
      <w:lvlJc w:val="right"/>
      <w:pPr>
        <w:ind w:left="4320" w:hanging="180"/>
      </w:pPr>
    </w:lvl>
    <w:lvl w:ilvl="6" w:tplc="0810000F" w:tentative="1">
      <w:start w:val="1"/>
      <w:numFmt w:val="decimal"/>
      <w:lvlText w:val="%7."/>
      <w:lvlJc w:val="left"/>
      <w:pPr>
        <w:ind w:left="5040" w:hanging="360"/>
      </w:pPr>
    </w:lvl>
    <w:lvl w:ilvl="7" w:tplc="08100019" w:tentative="1">
      <w:start w:val="1"/>
      <w:numFmt w:val="lowerLetter"/>
      <w:lvlText w:val="%8."/>
      <w:lvlJc w:val="left"/>
      <w:pPr>
        <w:ind w:left="5760" w:hanging="360"/>
      </w:pPr>
    </w:lvl>
    <w:lvl w:ilvl="8" w:tplc="0810001B" w:tentative="1">
      <w:start w:val="1"/>
      <w:numFmt w:val="lowerRoman"/>
      <w:lvlText w:val="%9."/>
      <w:lvlJc w:val="right"/>
      <w:pPr>
        <w:ind w:left="6480" w:hanging="180"/>
      </w:pPr>
    </w:lvl>
  </w:abstractNum>
  <w:abstractNum w:abstractNumId="5" w15:restartNumberingAfterBreak="0">
    <w:nsid w:val="4FB217B0"/>
    <w:multiLevelType w:val="hybridMultilevel"/>
    <w:tmpl w:val="2382933C"/>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num w:numId="1" w16cid:durableId="833186497">
    <w:abstractNumId w:val="2"/>
  </w:num>
  <w:num w:numId="2" w16cid:durableId="968242197">
    <w:abstractNumId w:val="5"/>
  </w:num>
  <w:num w:numId="3" w16cid:durableId="1801998662">
    <w:abstractNumId w:val="3"/>
  </w:num>
  <w:num w:numId="4" w16cid:durableId="740299367">
    <w:abstractNumId w:val="4"/>
  </w:num>
  <w:num w:numId="5" w16cid:durableId="1851290682">
    <w:abstractNumId w:val="0"/>
  </w:num>
  <w:num w:numId="6" w16cid:durableId="845751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FB9"/>
    <w:rsid w:val="000549D9"/>
    <w:rsid w:val="00067B5F"/>
    <w:rsid w:val="000779AD"/>
    <w:rsid w:val="00081329"/>
    <w:rsid w:val="00083B05"/>
    <w:rsid w:val="00091AD0"/>
    <w:rsid w:val="00097799"/>
    <w:rsid w:val="000C0189"/>
    <w:rsid w:val="000D0072"/>
    <w:rsid w:val="000F2AFB"/>
    <w:rsid w:val="000F6EFC"/>
    <w:rsid w:val="00107B56"/>
    <w:rsid w:val="00147322"/>
    <w:rsid w:val="0015248E"/>
    <w:rsid w:val="001618AB"/>
    <w:rsid w:val="00163718"/>
    <w:rsid w:val="00163BA7"/>
    <w:rsid w:val="001676AE"/>
    <w:rsid w:val="001E466F"/>
    <w:rsid w:val="001F1442"/>
    <w:rsid w:val="001F162E"/>
    <w:rsid w:val="001F4254"/>
    <w:rsid w:val="002046E7"/>
    <w:rsid w:val="0021052C"/>
    <w:rsid w:val="00252C2F"/>
    <w:rsid w:val="0026700D"/>
    <w:rsid w:val="002721E3"/>
    <w:rsid w:val="0027462D"/>
    <w:rsid w:val="0027704A"/>
    <w:rsid w:val="0028612E"/>
    <w:rsid w:val="0029005B"/>
    <w:rsid w:val="002A5A05"/>
    <w:rsid w:val="002B43D1"/>
    <w:rsid w:val="002C0637"/>
    <w:rsid w:val="002C64BF"/>
    <w:rsid w:val="002D5DFA"/>
    <w:rsid w:val="002E097F"/>
    <w:rsid w:val="002F40EA"/>
    <w:rsid w:val="00342364"/>
    <w:rsid w:val="003576DD"/>
    <w:rsid w:val="00374DC4"/>
    <w:rsid w:val="003A745A"/>
    <w:rsid w:val="003E5855"/>
    <w:rsid w:val="00424F7E"/>
    <w:rsid w:val="0045390E"/>
    <w:rsid w:val="004816BF"/>
    <w:rsid w:val="00492BC4"/>
    <w:rsid w:val="00495A1C"/>
    <w:rsid w:val="004D055E"/>
    <w:rsid w:val="0050004A"/>
    <w:rsid w:val="00522D41"/>
    <w:rsid w:val="00525B77"/>
    <w:rsid w:val="00531960"/>
    <w:rsid w:val="00565E14"/>
    <w:rsid w:val="00574FB9"/>
    <w:rsid w:val="00586356"/>
    <w:rsid w:val="00595915"/>
    <w:rsid w:val="005973BB"/>
    <w:rsid w:val="005A01B5"/>
    <w:rsid w:val="005A12E3"/>
    <w:rsid w:val="005A48CF"/>
    <w:rsid w:val="005A61C7"/>
    <w:rsid w:val="005A78C5"/>
    <w:rsid w:val="005B607B"/>
    <w:rsid w:val="005C284A"/>
    <w:rsid w:val="005C4EDD"/>
    <w:rsid w:val="005F0C20"/>
    <w:rsid w:val="00604635"/>
    <w:rsid w:val="006141BB"/>
    <w:rsid w:val="0062010B"/>
    <w:rsid w:val="00636B4C"/>
    <w:rsid w:val="006419DF"/>
    <w:rsid w:val="00646E1F"/>
    <w:rsid w:val="00672FC4"/>
    <w:rsid w:val="00682DEA"/>
    <w:rsid w:val="00695A06"/>
    <w:rsid w:val="006B09C5"/>
    <w:rsid w:val="006C4BE9"/>
    <w:rsid w:val="006E04D8"/>
    <w:rsid w:val="006E2758"/>
    <w:rsid w:val="006F019A"/>
    <w:rsid w:val="007076E0"/>
    <w:rsid w:val="007525B2"/>
    <w:rsid w:val="0077136A"/>
    <w:rsid w:val="00793B9A"/>
    <w:rsid w:val="007B1BD7"/>
    <w:rsid w:val="007C40A7"/>
    <w:rsid w:val="008006F9"/>
    <w:rsid w:val="00810478"/>
    <w:rsid w:val="00810A7F"/>
    <w:rsid w:val="00831758"/>
    <w:rsid w:val="00837BF7"/>
    <w:rsid w:val="008875F7"/>
    <w:rsid w:val="00891D5B"/>
    <w:rsid w:val="00892877"/>
    <w:rsid w:val="008C4182"/>
    <w:rsid w:val="008D5C86"/>
    <w:rsid w:val="008E6FD5"/>
    <w:rsid w:val="008F1C55"/>
    <w:rsid w:val="00900B18"/>
    <w:rsid w:val="00913436"/>
    <w:rsid w:val="009175C9"/>
    <w:rsid w:val="00930193"/>
    <w:rsid w:val="00935584"/>
    <w:rsid w:val="00945869"/>
    <w:rsid w:val="009564D1"/>
    <w:rsid w:val="009A52A2"/>
    <w:rsid w:val="009A6D0A"/>
    <w:rsid w:val="009B2918"/>
    <w:rsid w:val="009C042A"/>
    <w:rsid w:val="009C6EE6"/>
    <w:rsid w:val="009D34A8"/>
    <w:rsid w:val="009D6FB7"/>
    <w:rsid w:val="00A00067"/>
    <w:rsid w:val="00A13A48"/>
    <w:rsid w:val="00A2540D"/>
    <w:rsid w:val="00A37E8E"/>
    <w:rsid w:val="00A44068"/>
    <w:rsid w:val="00A51F62"/>
    <w:rsid w:val="00A66621"/>
    <w:rsid w:val="00A810F7"/>
    <w:rsid w:val="00A9777F"/>
    <w:rsid w:val="00AB1A22"/>
    <w:rsid w:val="00AB560C"/>
    <w:rsid w:val="00AC0CBB"/>
    <w:rsid w:val="00AD1588"/>
    <w:rsid w:val="00AD2868"/>
    <w:rsid w:val="00AF126D"/>
    <w:rsid w:val="00AF54B2"/>
    <w:rsid w:val="00B217AE"/>
    <w:rsid w:val="00B278A9"/>
    <w:rsid w:val="00B4585A"/>
    <w:rsid w:val="00B47A19"/>
    <w:rsid w:val="00B53F02"/>
    <w:rsid w:val="00B54B61"/>
    <w:rsid w:val="00B828D2"/>
    <w:rsid w:val="00B97570"/>
    <w:rsid w:val="00BB42A5"/>
    <w:rsid w:val="00BD52B0"/>
    <w:rsid w:val="00C0236F"/>
    <w:rsid w:val="00C54BDA"/>
    <w:rsid w:val="00C92EBF"/>
    <w:rsid w:val="00CB59AF"/>
    <w:rsid w:val="00CB6061"/>
    <w:rsid w:val="00CE1DE2"/>
    <w:rsid w:val="00CE3266"/>
    <w:rsid w:val="00CE5414"/>
    <w:rsid w:val="00CF1FBC"/>
    <w:rsid w:val="00CF2F8E"/>
    <w:rsid w:val="00D24145"/>
    <w:rsid w:val="00D303F4"/>
    <w:rsid w:val="00D310D5"/>
    <w:rsid w:val="00D475DD"/>
    <w:rsid w:val="00D57187"/>
    <w:rsid w:val="00D709B8"/>
    <w:rsid w:val="00D72266"/>
    <w:rsid w:val="00D82DF7"/>
    <w:rsid w:val="00D90A1F"/>
    <w:rsid w:val="00D91C58"/>
    <w:rsid w:val="00DA32AB"/>
    <w:rsid w:val="00DC3B5C"/>
    <w:rsid w:val="00DC57C2"/>
    <w:rsid w:val="00DD0E52"/>
    <w:rsid w:val="00DD58DB"/>
    <w:rsid w:val="00E02EB9"/>
    <w:rsid w:val="00E12C8B"/>
    <w:rsid w:val="00E32F81"/>
    <w:rsid w:val="00E6150A"/>
    <w:rsid w:val="00E7263A"/>
    <w:rsid w:val="00E73B00"/>
    <w:rsid w:val="00E77D4F"/>
    <w:rsid w:val="00E83D93"/>
    <w:rsid w:val="00E8501D"/>
    <w:rsid w:val="00E8575F"/>
    <w:rsid w:val="00EB6774"/>
    <w:rsid w:val="00EC281D"/>
    <w:rsid w:val="00EF3D54"/>
    <w:rsid w:val="00F13B19"/>
    <w:rsid w:val="00F16F3B"/>
    <w:rsid w:val="00F63310"/>
    <w:rsid w:val="00F70636"/>
    <w:rsid w:val="00F80397"/>
    <w:rsid w:val="00FB5EE9"/>
    <w:rsid w:val="00FB756C"/>
    <w:rsid w:val="00FC2124"/>
    <w:rsid w:val="00FC53AB"/>
    <w:rsid w:val="00FE0C70"/>
  </w:rsids>
  <m:mathPr>
    <m:mathFont m:val="Cambria Math"/>
    <m:brkBin m:val="before"/>
    <m:brkBinSub m:val="--"/>
    <m:smallFrac m:val="0"/>
    <m:dispDef/>
    <m:lMargin m:val="0"/>
    <m:rMargin m:val="0"/>
    <m:defJc m:val="centerGroup"/>
    <m:wrapIndent m:val="1440"/>
    <m:intLim m:val="subSup"/>
    <m:naryLim m:val="undOvr"/>
  </m:mathPr>
  <w:themeFontLang w:val="it-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859FA"/>
  <w15:chartTrackingRefBased/>
  <w15:docId w15:val="{59B3F778-F898-4C8D-BE0F-62A93089C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93B9A"/>
  </w:style>
  <w:style w:type="paragraph" w:styleId="Titolo1">
    <w:name w:val="heading 1"/>
    <w:basedOn w:val="Normale"/>
    <w:next w:val="Normale"/>
    <w:link w:val="Titolo1Carattere"/>
    <w:uiPriority w:val="9"/>
    <w:qFormat/>
    <w:rsid w:val="00574FB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74FB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74FB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74FB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74FB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74FB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74FB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74FB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74FB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74FB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74FB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74FB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74FB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74FB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74FB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74FB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74FB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74FB9"/>
    <w:rPr>
      <w:rFonts w:eastAsiaTheme="majorEastAsia" w:cstheme="majorBidi"/>
      <w:color w:val="272727" w:themeColor="text1" w:themeTint="D8"/>
    </w:rPr>
  </w:style>
  <w:style w:type="paragraph" w:styleId="Titolo">
    <w:name w:val="Title"/>
    <w:basedOn w:val="Normale"/>
    <w:next w:val="Normale"/>
    <w:link w:val="TitoloCarattere"/>
    <w:uiPriority w:val="10"/>
    <w:qFormat/>
    <w:rsid w:val="00574F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74FB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74FB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74FB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74FB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74FB9"/>
    <w:rPr>
      <w:i/>
      <w:iCs/>
      <w:color w:val="404040" w:themeColor="text1" w:themeTint="BF"/>
    </w:rPr>
  </w:style>
  <w:style w:type="paragraph" w:styleId="Paragrafoelenco">
    <w:name w:val="List Paragraph"/>
    <w:basedOn w:val="Normale"/>
    <w:uiPriority w:val="34"/>
    <w:qFormat/>
    <w:rsid w:val="00574FB9"/>
    <w:pPr>
      <w:ind w:left="720"/>
      <w:contextualSpacing/>
    </w:pPr>
  </w:style>
  <w:style w:type="character" w:styleId="Enfasiintensa">
    <w:name w:val="Intense Emphasis"/>
    <w:basedOn w:val="Carpredefinitoparagrafo"/>
    <w:uiPriority w:val="21"/>
    <w:qFormat/>
    <w:rsid w:val="00574FB9"/>
    <w:rPr>
      <w:i/>
      <w:iCs/>
      <w:color w:val="2F5496" w:themeColor="accent1" w:themeShade="BF"/>
    </w:rPr>
  </w:style>
  <w:style w:type="paragraph" w:styleId="Citazioneintensa">
    <w:name w:val="Intense Quote"/>
    <w:basedOn w:val="Normale"/>
    <w:next w:val="Normale"/>
    <w:link w:val="CitazioneintensaCarattere"/>
    <w:uiPriority w:val="30"/>
    <w:qFormat/>
    <w:rsid w:val="00574FB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74FB9"/>
    <w:rPr>
      <w:i/>
      <w:iCs/>
      <w:color w:val="2F5496" w:themeColor="accent1" w:themeShade="BF"/>
    </w:rPr>
  </w:style>
  <w:style w:type="character" w:styleId="Riferimentointenso">
    <w:name w:val="Intense Reference"/>
    <w:basedOn w:val="Carpredefinitoparagrafo"/>
    <w:uiPriority w:val="32"/>
    <w:qFormat/>
    <w:rsid w:val="00574FB9"/>
    <w:rPr>
      <w:b/>
      <w:bCs/>
      <w:smallCaps/>
      <w:color w:val="2F5496" w:themeColor="accent1" w:themeShade="BF"/>
      <w:spacing w:val="5"/>
    </w:rPr>
  </w:style>
  <w:style w:type="paragraph" w:styleId="Intestazione">
    <w:name w:val="header"/>
    <w:basedOn w:val="Normale"/>
    <w:link w:val="IntestazioneCarattere"/>
    <w:uiPriority w:val="99"/>
    <w:unhideWhenUsed/>
    <w:rsid w:val="00D7226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72266"/>
  </w:style>
  <w:style w:type="paragraph" w:styleId="Pidipagina">
    <w:name w:val="footer"/>
    <w:basedOn w:val="Normale"/>
    <w:link w:val="PidipaginaCarattere"/>
    <w:uiPriority w:val="99"/>
    <w:unhideWhenUsed/>
    <w:rsid w:val="00D7226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72266"/>
  </w:style>
  <w:style w:type="character" w:styleId="Collegamentoipertestuale">
    <w:name w:val="Hyperlink"/>
    <w:basedOn w:val="Carpredefinitoparagrafo"/>
    <w:uiPriority w:val="99"/>
    <w:unhideWhenUsed/>
    <w:rsid w:val="00AF126D"/>
    <w:rPr>
      <w:color w:val="0563C1" w:themeColor="hyperlink"/>
      <w:u w:val="single"/>
    </w:rPr>
  </w:style>
  <w:style w:type="character" w:styleId="Menzionenonrisolta">
    <w:name w:val="Unresolved Mention"/>
    <w:basedOn w:val="Carpredefinitoparagrafo"/>
    <w:uiPriority w:val="99"/>
    <w:semiHidden/>
    <w:unhideWhenUsed/>
    <w:rsid w:val="00AF12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E962FC-BBF0-4262-8F25-56A512631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665</Words>
  <Characters>3795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dardani</dc:creator>
  <cp:keywords/>
  <dc:description/>
  <cp:lastModifiedBy>Starcomunicazione</cp:lastModifiedBy>
  <cp:revision>4</cp:revision>
  <cp:lastPrinted>2025-10-03T08:44:00Z</cp:lastPrinted>
  <dcterms:created xsi:type="dcterms:W3CDTF">2025-10-14T14:15:00Z</dcterms:created>
  <dcterms:modified xsi:type="dcterms:W3CDTF">2025-10-14T14:48:00Z</dcterms:modified>
</cp:coreProperties>
</file>