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7F34DA" w14:textId="77777777" w:rsidR="00411F8B" w:rsidRDefault="00411F8B" w:rsidP="00411F8B">
      <w:pPr>
        <w:pStyle w:val="NormaleWeb"/>
        <w:shd w:val="clear" w:color="auto" w:fill="FFFFFF"/>
        <w:jc w:val="center"/>
        <w:rPr>
          <w:rFonts w:ascii="Arial" w:hAnsi="Arial" w:cs="Arial"/>
          <w:color w:val="666666"/>
          <w:sz w:val="40"/>
          <w:szCs w:val="40"/>
        </w:rPr>
      </w:pPr>
    </w:p>
    <w:p w14:paraId="7EEEF147" w14:textId="77777777" w:rsidR="00411F8B" w:rsidRPr="00411F8B" w:rsidRDefault="00411F8B" w:rsidP="00411F8B">
      <w:pPr>
        <w:pStyle w:val="NormaleWeb"/>
        <w:shd w:val="clear" w:color="auto" w:fill="FFFFFF"/>
        <w:jc w:val="center"/>
        <w:rPr>
          <w:rFonts w:ascii="Arial" w:hAnsi="Arial" w:cs="Arial"/>
          <w:color w:val="666666"/>
          <w:sz w:val="40"/>
          <w:szCs w:val="40"/>
        </w:rPr>
      </w:pPr>
      <w:r w:rsidRPr="00411F8B">
        <w:rPr>
          <w:rFonts w:ascii="Arial" w:hAnsi="Arial" w:cs="Arial"/>
          <w:color w:val="666666"/>
          <w:sz w:val="40"/>
          <w:szCs w:val="40"/>
        </w:rPr>
        <w:t>Post Covid: arrivano le navi smart</w:t>
      </w:r>
    </w:p>
    <w:p w14:paraId="13F6B3C8" w14:textId="2FAB2AB4" w:rsidR="00972590" w:rsidRDefault="00411F8B" w:rsidP="00411F8B">
      <w:pPr>
        <w:pStyle w:val="NormaleWeb"/>
        <w:shd w:val="clear" w:color="auto" w:fill="FFFFFF"/>
        <w:jc w:val="center"/>
        <w:rPr>
          <w:rFonts w:ascii="Arial" w:hAnsi="Arial" w:cs="Arial"/>
          <w:color w:val="666666"/>
          <w:sz w:val="40"/>
          <w:szCs w:val="40"/>
        </w:rPr>
      </w:pPr>
      <w:proofErr w:type="gramStart"/>
      <w:r w:rsidRPr="00411F8B">
        <w:rPr>
          <w:rFonts w:ascii="Arial" w:hAnsi="Arial" w:cs="Arial"/>
          <w:color w:val="666666"/>
          <w:sz w:val="40"/>
          <w:szCs w:val="40"/>
        </w:rPr>
        <w:t>senza</w:t>
      </w:r>
      <w:proofErr w:type="gramEnd"/>
      <w:r w:rsidRPr="00411F8B">
        <w:rPr>
          <w:rFonts w:ascii="Arial" w:hAnsi="Arial" w:cs="Arial"/>
          <w:color w:val="666666"/>
          <w:sz w:val="40"/>
          <w:szCs w:val="40"/>
        </w:rPr>
        <w:t xml:space="preserve"> rischio estinzione per i marittimi</w:t>
      </w:r>
    </w:p>
    <w:p w14:paraId="681B7DCA" w14:textId="77777777" w:rsidR="00411F8B" w:rsidRDefault="00411F8B" w:rsidP="00411F8B">
      <w:pPr>
        <w:pStyle w:val="NormaleWeb"/>
        <w:shd w:val="clear" w:color="auto" w:fill="FFFFFF"/>
        <w:jc w:val="center"/>
        <w:rPr>
          <w:rFonts w:ascii="Arial" w:hAnsi="Arial" w:cs="Arial"/>
          <w:color w:val="666666"/>
          <w:sz w:val="40"/>
          <w:szCs w:val="40"/>
        </w:rPr>
      </w:pPr>
    </w:p>
    <w:p w14:paraId="1FE2F935" w14:textId="04F607F9" w:rsidR="00411F8B" w:rsidRPr="00411F8B" w:rsidRDefault="00411F8B" w:rsidP="00411F8B">
      <w:pPr>
        <w:pStyle w:val="NormaleWeb"/>
        <w:shd w:val="clear" w:color="auto" w:fill="FFFFFF"/>
        <w:jc w:val="center"/>
        <w:rPr>
          <w:rFonts w:ascii="Arial" w:hAnsi="Arial" w:cs="Arial"/>
          <w:color w:val="666666"/>
          <w:u w:val="single"/>
        </w:rPr>
      </w:pPr>
      <w:r w:rsidRPr="00411F8B">
        <w:rPr>
          <w:rFonts w:ascii="Arial" w:hAnsi="Arial" w:cs="Arial"/>
          <w:color w:val="666666"/>
          <w:u w:val="single"/>
        </w:rPr>
        <w:t>Nel 1926 una nave viaggiava con un equipaggio di 250 persone, nel 2000 fra 15 e 20 e già nel 2025 l’automazione abbatterà il numero dei marittimi sulle nuove navi a meno di 5. L’analisi di BlueMonitorLab sul fattore centrale di cambiamento: le “control room” a terra e la manutenzione</w:t>
      </w:r>
    </w:p>
    <w:p w14:paraId="5492033F" w14:textId="77777777" w:rsidR="00411F8B" w:rsidRPr="00411F8B" w:rsidRDefault="00411F8B" w:rsidP="00411F8B">
      <w:pPr>
        <w:pStyle w:val="NormaleWeb"/>
        <w:shd w:val="clear" w:color="auto" w:fill="FFFFFF"/>
        <w:rPr>
          <w:rFonts w:ascii="Arial" w:hAnsi="Arial" w:cs="Arial"/>
          <w:color w:val="666666"/>
          <w:sz w:val="40"/>
          <w:szCs w:val="40"/>
          <w:lang w:val="it-IT"/>
        </w:rPr>
      </w:pPr>
    </w:p>
    <w:p w14:paraId="2F81CA95" w14:textId="2CB84AEB" w:rsidR="00411F8B" w:rsidRPr="00411F8B" w:rsidRDefault="00411F8B" w:rsidP="00411F8B">
      <w:pPr>
        <w:pStyle w:val="NormaleWeb"/>
        <w:shd w:val="clear" w:color="auto" w:fill="FFFFFF"/>
        <w:jc w:val="both"/>
        <w:rPr>
          <w:rFonts w:ascii="Arial" w:hAnsi="Arial" w:cs="Arial"/>
          <w:color w:val="666666"/>
          <w:sz w:val="20"/>
          <w:szCs w:val="20"/>
        </w:rPr>
      </w:pPr>
      <w:r w:rsidRPr="00411F8B">
        <w:rPr>
          <w:rFonts w:ascii="Arial" w:hAnsi="Arial" w:cs="Arial"/>
          <w:color w:val="666666"/>
          <w:sz w:val="20"/>
          <w:szCs w:val="20"/>
        </w:rPr>
        <w:t>Il mercato dei trasporti marittimi viaggia a gran velocità verso l’adozione di un</w:t>
      </w:r>
      <w:r>
        <w:rPr>
          <w:rFonts w:ascii="Arial" w:hAnsi="Arial" w:cs="Arial"/>
          <w:color w:val="666666"/>
          <w:sz w:val="20"/>
          <w:szCs w:val="20"/>
        </w:rPr>
        <w:t>’</w:t>
      </w:r>
      <w:r w:rsidRPr="00411F8B">
        <w:rPr>
          <w:rFonts w:ascii="Arial" w:hAnsi="Arial" w:cs="Arial"/>
          <w:color w:val="666666"/>
          <w:sz w:val="20"/>
          <w:szCs w:val="20"/>
        </w:rPr>
        <w:t>automazione spinta e una progressiva riduzione degli equipaggi a bordo. L’effetto Covid – secondo un</w:t>
      </w:r>
      <w:r>
        <w:rPr>
          <w:rFonts w:ascii="Arial" w:hAnsi="Arial" w:cs="Arial"/>
          <w:color w:val="666666"/>
          <w:sz w:val="20"/>
          <w:szCs w:val="20"/>
        </w:rPr>
        <w:t>’</w:t>
      </w:r>
      <w:r w:rsidRPr="00411F8B">
        <w:rPr>
          <w:rFonts w:ascii="Arial" w:hAnsi="Arial" w:cs="Arial"/>
          <w:color w:val="666666"/>
          <w:sz w:val="20"/>
          <w:szCs w:val="20"/>
        </w:rPr>
        <w:t>analisi comparata dei più recenti studi in materia, condotta da BlueMonitorLab - ha impresso un’ulteriore accelerazione alla progettazione non tanto delle unmanned vessels, quanto alla realizzazione di sale di controllo di terra che siano in grado di definire e “ordinare” alla nave l’adozione dei parametri più convenienti, più sicuri e più sostenibili, nella sua gestione in navigazione. Ciò con effetti particolarmente rilevanti in tema di consumo di carburante, adozione delle rotte più safe e meno impattanti sulla nave, anche attraverso un’analisi costante delle condizioni meteo-marine e quindi un adatt</w:t>
      </w:r>
      <w:r>
        <w:rPr>
          <w:rFonts w:ascii="Arial" w:hAnsi="Arial" w:cs="Arial"/>
          <w:color w:val="666666"/>
          <w:sz w:val="20"/>
          <w:szCs w:val="20"/>
        </w:rPr>
        <w:t>amento “in remoto” delle rotte.</w:t>
      </w:r>
    </w:p>
    <w:p w14:paraId="04AE0EE6" w14:textId="37D3A962" w:rsidR="00411F8B" w:rsidRPr="00411F8B" w:rsidRDefault="00411F8B" w:rsidP="00411F8B">
      <w:pPr>
        <w:pStyle w:val="NormaleWeb"/>
        <w:shd w:val="clear" w:color="auto" w:fill="FFFFFF"/>
        <w:jc w:val="both"/>
        <w:rPr>
          <w:rFonts w:ascii="Arial" w:hAnsi="Arial" w:cs="Arial"/>
          <w:color w:val="666666"/>
          <w:sz w:val="20"/>
          <w:szCs w:val="20"/>
        </w:rPr>
      </w:pPr>
      <w:r w:rsidRPr="00411F8B">
        <w:rPr>
          <w:rFonts w:ascii="Arial" w:hAnsi="Arial" w:cs="Arial"/>
          <w:color w:val="666666"/>
          <w:sz w:val="20"/>
          <w:szCs w:val="20"/>
        </w:rPr>
        <w:t>Con una previsione di incremento dell’interscambio via mare di oltre un terzo entro il 2030 (superando i</w:t>
      </w:r>
      <w:r>
        <w:rPr>
          <w:rFonts w:ascii="Arial" w:hAnsi="Arial" w:cs="Arial"/>
          <w:color w:val="666666"/>
          <w:sz w:val="20"/>
          <w:szCs w:val="20"/>
        </w:rPr>
        <w:t xml:space="preserve"> </w:t>
      </w:r>
      <w:r w:rsidRPr="00411F8B">
        <w:rPr>
          <w:rFonts w:ascii="Arial" w:hAnsi="Arial" w:cs="Arial"/>
          <w:color w:val="666666"/>
          <w:sz w:val="20"/>
          <w:szCs w:val="20"/>
        </w:rPr>
        <w:t xml:space="preserve">74 miliardi di tonnellate miglia), il processo di automazione navale e di conseguente riduzione nel numero </w:t>
      </w:r>
      <w:r w:rsidRPr="002F59B5">
        <w:rPr>
          <w:rFonts w:ascii="Arial" w:hAnsi="Arial" w:cs="Arial"/>
          <w:color w:val="666666"/>
          <w:sz w:val="20"/>
          <w:szCs w:val="20"/>
        </w:rPr>
        <w:t>dei componenti</w:t>
      </w:r>
      <w:r w:rsidR="00E65FFB">
        <w:rPr>
          <w:rFonts w:ascii="Arial" w:hAnsi="Arial" w:cs="Arial"/>
          <w:color w:val="666666"/>
          <w:sz w:val="20"/>
          <w:szCs w:val="20"/>
        </w:rPr>
        <w:t xml:space="preserve"> </w:t>
      </w:r>
      <w:r w:rsidRPr="002F59B5">
        <w:rPr>
          <w:rFonts w:ascii="Arial" w:hAnsi="Arial" w:cs="Arial"/>
          <w:color w:val="666666"/>
          <w:sz w:val="20"/>
          <w:szCs w:val="20"/>
        </w:rPr>
        <w:t xml:space="preserve"> </w:t>
      </w:r>
      <w:r w:rsidR="00E65FFB">
        <w:rPr>
          <w:rFonts w:ascii="Arial" w:hAnsi="Arial" w:cs="Arial"/>
          <w:color w:val="666666"/>
          <w:sz w:val="20"/>
          <w:szCs w:val="20"/>
        </w:rPr>
        <w:t>del</w:t>
      </w:r>
      <w:r w:rsidRPr="002F59B5">
        <w:rPr>
          <w:rFonts w:ascii="Arial" w:hAnsi="Arial" w:cs="Arial"/>
          <w:color w:val="666666"/>
          <w:sz w:val="20"/>
          <w:szCs w:val="20"/>
        </w:rPr>
        <w:t>l’equipaggio,</w:t>
      </w:r>
      <w:r w:rsidRPr="00411F8B">
        <w:rPr>
          <w:rFonts w:ascii="Arial" w:hAnsi="Arial" w:cs="Arial"/>
          <w:color w:val="666666"/>
          <w:sz w:val="20"/>
          <w:szCs w:val="20"/>
        </w:rPr>
        <w:t xml:space="preserve"> dovrebbe procedere di pari passo anche per incidere in modo determinante su quella percentuale del 90% degli incidenti e delle collisioni in mare che sono riconducibili all’errore umano e che – secondo le più recenti proiezioni effettuate nel mercato assicurativo – si traducono in claims e danni quantificabili in 1,</w:t>
      </w:r>
      <w:r>
        <w:rPr>
          <w:rFonts w:ascii="Arial" w:hAnsi="Arial" w:cs="Arial"/>
          <w:color w:val="666666"/>
          <w:sz w:val="20"/>
          <w:szCs w:val="20"/>
        </w:rPr>
        <w:t>4 miliardi di dollari all’anno.</w:t>
      </w:r>
    </w:p>
    <w:p w14:paraId="1B1E7B3E" w14:textId="2F898DFE" w:rsidR="00411F8B" w:rsidRPr="00411F8B" w:rsidRDefault="00411F8B" w:rsidP="00411F8B">
      <w:pPr>
        <w:pStyle w:val="NormaleWeb"/>
        <w:shd w:val="clear" w:color="auto" w:fill="FFFFFF"/>
        <w:jc w:val="both"/>
        <w:rPr>
          <w:rFonts w:ascii="Arial" w:hAnsi="Arial" w:cs="Arial"/>
          <w:color w:val="666666"/>
          <w:sz w:val="20"/>
          <w:szCs w:val="20"/>
        </w:rPr>
      </w:pPr>
      <w:r w:rsidRPr="00411F8B">
        <w:rPr>
          <w:rFonts w:ascii="Arial" w:hAnsi="Arial" w:cs="Arial"/>
          <w:color w:val="666666"/>
          <w:sz w:val="20"/>
          <w:szCs w:val="20"/>
        </w:rPr>
        <w:t>Secondo quanto dichiarato recentemente dal presidente Marine di Rolls</w:t>
      </w:r>
      <w:r w:rsidR="00130123">
        <w:rPr>
          <w:rFonts w:ascii="Arial" w:hAnsi="Arial" w:cs="Arial"/>
          <w:color w:val="666666"/>
          <w:sz w:val="20"/>
          <w:szCs w:val="20"/>
        </w:rPr>
        <w:t>-</w:t>
      </w:r>
      <w:r w:rsidRPr="00411F8B">
        <w:rPr>
          <w:rFonts w:ascii="Arial" w:hAnsi="Arial" w:cs="Arial"/>
          <w:color w:val="666666"/>
          <w:sz w:val="20"/>
          <w:szCs w:val="20"/>
        </w:rPr>
        <w:t>Royce, Mikael Makinen, l’entrata in esercizio delle “smart vessels”, le navi intelligenti gestite attraverso un costante interfaccia con control room a terra, sarà in grado di migliorare del 90% le performance economiche dell’industria logistica e marittima e di incrementare in modo signific</w:t>
      </w:r>
      <w:r>
        <w:rPr>
          <w:rFonts w:ascii="Arial" w:hAnsi="Arial" w:cs="Arial"/>
          <w:color w:val="666666"/>
          <w:sz w:val="20"/>
          <w:szCs w:val="20"/>
        </w:rPr>
        <w:t>ativo il fatturato del settore.</w:t>
      </w:r>
    </w:p>
    <w:p w14:paraId="7B6AC8CB" w14:textId="77777777" w:rsidR="00411F8B" w:rsidRPr="00411F8B" w:rsidRDefault="00411F8B" w:rsidP="00411F8B">
      <w:pPr>
        <w:pStyle w:val="NormaleWeb"/>
        <w:shd w:val="clear" w:color="auto" w:fill="FFFFFF"/>
        <w:jc w:val="both"/>
        <w:rPr>
          <w:rFonts w:ascii="Arial" w:hAnsi="Arial" w:cs="Arial"/>
          <w:color w:val="666666"/>
          <w:sz w:val="20"/>
          <w:szCs w:val="20"/>
        </w:rPr>
      </w:pPr>
      <w:r w:rsidRPr="00411F8B">
        <w:rPr>
          <w:rFonts w:ascii="Arial" w:hAnsi="Arial" w:cs="Arial"/>
          <w:color w:val="666666"/>
          <w:sz w:val="20"/>
          <w:szCs w:val="20"/>
        </w:rPr>
        <w:t>Come sottolineato in una recente ricerca di Nautix, mentre l’utilizzo di personale low cost a bordo delle navi, con tutte le conseguenze derivate in termini di standard di sicurezza, ha generato un risparmio sul costo del lavoro pari a circa il 60%, l’automazione spinta potrebbe ridurre del 90% il costo del lavoro diretto on board, generando tuttavia altre filiere occupazionali.</w:t>
      </w:r>
    </w:p>
    <w:p w14:paraId="4AA61AB1" w14:textId="77777777" w:rsidR="00411F8B" w:rsidRPr="00411F8B" w:rsidRDefault="00411F8B" w:rsidP="00411F8B">
      <w:pPr>
        <w:pStyle w:val="NormaleWeb"/>
        <w:shd w:val="clear" w:color="auto" w:fill="FFFFFF"/>
        <w:jc w:val="both"/>
        <w:rPr>
          <w:rFonts w:ascii="Arial" w:hAnsi="Arial" w:cs="Arial"/>
          <w:color w:val="666666"/>
          <w:sz w:val="20"/>
          <w:szCs w:val="20"/>
        </w:rPr>
      </w:pPr>
    </w:p>
    <w:p w14:paraId="615AD762" w14:textId="77777777" w:rsidR="00411F8B" w:rsidRPr="00411F8B" w:rsidRDefault="00411F8B" w:rsidP="00411F8B">
      <w:pPr>
        <w:pStyle w:val="NormaleWeb"/>
        <w:shd w:val="clear" w:color="auto" w:fill="FFFFFF"/>
        <w:jc w:val="both"/>
        <w:rPr>
          <w:rFonts w:ascii="Arial" w:hAnsi="Arial" w:cs="Arial"/>
          <w:color w:val="666666"/>
          <w:sz w:val="20"/>
          <w:szCs w:val="20"/>
        </w:rPr>
      </w:pPr>
      <w:r w:rsidRPr="00411F8B">
        <w:rPr>
          <w:rFonts w:ascii="Arial" w:hAnsi="Arial" w:cs="Arial"/>
          <w:color w:val="666666"/>
          <w:sz w:val="20"/>
          <w:szCs w:val="20"/>
        </w:rPr>
        <w:lastRenderedPageBreak/>
        <w:t>Il mercato delle navi a forte automazione dovrebbe crescere da 5,5 miliardi del 2018 a 12,5 miliardi nel 2030 per poi registrare una vera e propria impennata, impattando sulla sicurezza, sulla capacità di monitorare le condizioni del carico, di implementare misure di risparmio energetico, garantire la migliore performance dei motori, ridurre l’errore umano e aumentare la capacità di carico delle navi grazie a equipaggi molto ridotti.</w:t>
      </w:r>
    </w:p>
    <w:p w14:paraId="7765137C" w14:textId="74913441" w:rsidR="00411F8B" w:rsidRPr="00411F8B" w:rsidRDefault="009A77A6" w:rsidP="00411F8B">
      <w:pPr>
        <w:pStyle w:val="NormaleWeb"/>
        <w:shd w:val="clear" w:color="auto" w:fill="FFFFFF"/>
        <w:jc w:val="both"/>
        <w:rPr>
          <w:rFonts w:ascii="Arial" w:hAnsi="Arial" w:cs="Arial"/>
          <w:color w:val="666666"/>
          <w:sz w:val="20"/>
          <w:szCs w:val="20"/>
        </w:rPr>
      </w:pPr>
      <w:r>
        <w:rPr>
          <w:rFonts w:ascii="Arial" w:hAnsi="Arial" w:cs="Arial"/>
          <w:color w:val="666666"/>
          <w:sz w:val="20"/>
          <w:szCs w:val="20"/>
        </w:rPr>
        <w:t>“</w:t>
      </w:r>
      <w:r w:rsidR="00411F8B" w:rsidRPr="00411F8B">
        <w:rPr>
          <w:rFonts w:ascii="Arial" w:hAnsi="Arial" w:cs="Arial"/>
          <w:color w:val="666666"/>
          <w:sz w:val="20"/>
          <w:szCs w:val="20"/>
        </w:rPr>
        <w:t xml:space="preserve">Lo sviluppo di questo settore nel quale sono già stati investiti 25 milioni di euro in progetti come </w:t>
      </w:r>
      <w:r w:rsidR="00411F8B" w:rsidRPr="00E65FFB">
        <w:rPr>
          <w:rFonts w:ascii="Arial" w:hAnsi="Arial" w:cs="Arial"/>
          <w:color w:val="666666"/>
          <w:sz w:val="20"/>
          <w:szCs w:val="20"/>
          <w:lang w:val="it-IT"/>
        </w:rPr>
        <w:t>Sea Machines Robotics, EU’s MUNIN, SINTEF’s Seatonomy, e Rolls-Royce’s Advanced Autonomous Waterborne Applications Initiative</w:t>
      </w:r>
      <w:r w:rsidR="00411F8B" w:rsidRPr="00411F8B">
        <w:rPr>
          <w:rFonts w:ascii="Arial" w:hAnsi="Arial" w:cs="Arial"/>
          <w:color w:val="666666"/>
          <w:sz w:val="20"/>
          <w:szCs w:val="20"/>
        </w:rPr>
        <w:t xml:space="preserve"> – secondo Giampiero Soncini (uno dei maggiori esperti di automazione e specialmente di controllo remoto delle navi) – sarà garantito in particolare dalla concentrazione degli sforzi in atto sulle control rooms a terra che consentiranno di monitorare h24, tutti i movimenti della flotta di una determinata compagnia, ottimizzando rotte, consumi di carburante e persino scelta dei porti in grado di garantire le migliori condizioni di movimentazione del carico</w:t>
      </w:r>
      <w:r w:rsidR="00411F8B">
        <w:rPr>
          <w:rFonts w:ascii="Arial" w:hAnsi="Arial" w:cs="Arial"/>
          <w:color w:val="666666"/>
          <w:sz w:val="20"/>
          <w:szCs w:val="20"/>
        </w:rPr>
        <w:t>,</w:t>
      </w:r>
      <w:r w:rsidR="00411F8B" w:rsidRPr="00411F8B">
        <w:rPr>
          <w:rFonts w:ascii="Arial" w:hAnsi="Arial" w:cs="Arial"/>
          <w:color w:val="666666"/>
          <w:sz w:val="20"/>
          <w:szCs w:val="20"/>
        </w:rPr>
        <w:t xml:space="preserve"> specie su una nave senza o co</w:t>
      </w:r>
      <w:r w:rsidR="009163D8">
        <w:rPr>
          <w:rFonts w:ascii="Arial" w:hAnsi="Arial" w:cs="Arial"/>
          <w:color w:val="666666"/>
          <w:sz w:val="20"/>
          <w:szCs w:val="20"/>
        </w:rPr>
        <w:t>n equipaggio ridotto</w:t>
      </w:r>
      <w:r>
        <w:rPr>
          <w:rFonts w:ascii="Arial" w:hAnsi="Arial" w:cs="Arial"/>
          <w:color w:val="666666"/>
          <w:sz w:val="20"/>
          <w:szCs w:val="20"/>
        </w:rPr>
        <w:t>”</w:t>
      </w:r>
      <w:bookmarkStart w:id="0" w:name="_GoBack"/>
      <w:bookmarkEnd w:id="0"/>
      <w:r w:rsidR="00411F8B">
        <w:rPr>
          <w:rFonts w:ascii="Arial" w:hAnsi="Arial" w:cs="Arial"/>
          <w:color w:val="666666"/>
          <w:sz w:val="20"/>
          <w:szCs w:val="20"/>
        </w:rPr>
        <w:t>.</w:t>
      </w:r>
    </w:p>
    <w:p w14:paraId="2C841DDE" w14:textId="0E4B2570" w:rsidR="00411F8B" w:rsidRPr="00411F8B" w:rsidRDefault="00411F8B" w:rsidP="00411F8B">
      <w:pPr>
        <w:pStyle w:val="NormaleWeb"/>
        <w:shd w:val="clear" w:color="auto" w:fill="FFFFFF"/>
        <w:jc w:val="both"/>
        <w:rPr>
          <w:rFonts w:ascii="Arial" w:hAnsi="Arial" w:cs="Arial"/>
          <w:color w:val="666666"/>
          <w:sz w:val="20"/>
          <w:szCs w:val="20"/>
        </w:rPr>
      </w:pPr>
      <w:r w:rsidRPr="00411F8B">
        <w:rPr>
          <w:rFonts w:ascii="Arial" w:hAnsi="Arial" w:cs="Arial"/>
          <w:color w:val="666666"/>
          <w:sz w:val="20"/>
          <w:szCs w:val="20"/>
        </w:rPr>
        <w:t>Ma non sono tutte rose: secondo la World Maritime University difficilmente potranno essere trova</w:t>
      </w:r>
      <w:r>
        <w:rPr>
          <w:rFonts w:ascii="Arial" w:hAnsi="Arial" w:cs="Arial"/>
          <w:color w:val="666666"/>
          <w:sz w:val="20"/>
          <w:szCs w:val="20"/>
        </w:rPr>
        <w:t>t</w:t>
      </w:r>
      <w:r w:rsidRPr="00411F8B">
        <w:rPr>
          <w:rFonts w:ascii="Arial" w:hAnsi="Arial" w:cs="Arial"/>
          <w:color w:val="666666"/>
          <w:sz w:val="20"/>
          <w:szCs w:val="20"/>
        </w:rPr>
        <w:t>e e ufficializzate dalle organizzazioni internazionali, le nuove regole per la gestione di navi senza equipaggio o con equipaggio ridot</w:t>
      </w:r>
      <w:r>
        <w:rPr>
          <w:rFonts w:ascii="Arial" w:hAnsi="Arial" w:cs="Arial"/>
          <w:color w:val="666666"/>
          <w:sz w:val="20"/>
          <w:szCs w:val="20"/>
        </w:rPr>
        <w:t>tissimo.</w:t>
      </w:r>
    </w:p>
    <w:p w14:paraId="6E64F289" w14:textId="259E9D9E" w:rsidR="00411F8B" w:rsidRPr="00411F8B" w:rsidRDefault="00411F8B" w:rsidP="00411F8B">
      <w:pPr>
        <w:pStyle w:val="NormaleWeb"/>
        <w:shd w:val="clear" w:color="auto" w:fill="FFFFFF"/>
        <w:jc w:val="both"/>
        <w:rPr>
          <w:rFonts w:ascii="Arial" w:hAnsi="Arial" w:cs="Arial"/>
          <w:color w:val="666666"/>
          <w:sz w:val="20"/>
          <w:szCs w:val="20"/>
        </w:rPr>
      </w:pPr>
      <w:r w:rsidRPr="00411F8B">
        <w:rPr>
          <w:rFonts w:ascii="Arial" w:hAnsi="Arial" w:cs="Arial"/>
          <w:color w:val="666666"/>
          <w:sz w:val="20"/>
          <w:szCs w:val="20"/>
        </w:rPr>
        <w:t>Le caratteristiche tecniche, professionali e di formazione dei marittimi dovranno essere infatti rivoluzionate in funzione della gestione pratica di queste navi che potranno richiedere interventi sul sistema motore guidati da terra, ma anche la capacità di fronteggiare emergenze come quelle determinate da cyber attacks o, più semplicemente da improvvisi cambi di rotta, conseg</w:t>
      </w:r>
      <w:r>
        <w:rPr>
          <w:rFonts w:ascii="Arial" w:hAnsi="Arial" w:cs="Arial"/>
          <w:color w:val="666666"/>
          <w:sz w:val="20"/>
          <w:szCs w:val="20"/>
        </w:rPr>
        <w:t>uenza di inattesi eventi meteo.</w:t>
      </w:r>
    </w:p>
    <w:p w14:paraId="31B96071" w14:textId="51118872" w:rsidR="00411F8B" w:rsidRPr="00411F8B" w:rsidRDefault="00411F8B" w:rsidP="00411F8B">
      <w:pPr>
        <w:pStyle w:val="NormaleWeb"/>
        <w:shd w:val="clear" w:color="auto" w:fill="FFFFFF"/>
        <w:jc w:val="both"/>
        <w:rPr>
          <w:rFonts w:ascii="Arial" w:hAnsi="Arial" w:cs="Arial"/>
          <w:color w:val="666666"/>
          <w:sz w:val="20"/>
          <w:szCs w:val="20"/>
        </w:rPr>
      </w:pPr>
      <w:r w:rsidRPr="00411F8B">
        <w:rPr>
          <w:rFonts w:ascii="Arial" w:hAnsi="Arial" w:cs="Arial"/>
          <w:color w:val="666666"/>
          <w:sz w:val="20"/>
          <w:szCs w:val="20"/>
        </w:rPr>
        <w:t xml:space="preserve">Secondo un report della World Maritime University, rilanciato dal sindacato ITF, l’introduzione di navi a forte automazione potrebbe produrre una riduzione del 22% nell’offerta di tradizionale lavoro marittimo entro il 2040, ma l’ITF non tiene conto </w:t>
      </w:r>
      <w:r>
        <w:rPr>
          <w:rFonts w:ascii="Arial" w:hAnsi="Arial" w:cs="Arial"/>
          <w:color w:val="666666"/>
          <w:sz w:val="20"/>
          <w:szCs w:val="20"/>
        </w:rPr>
        <w:t>del</w:t>
      </w:r>
      <w:r w:rsidRPr="00411F8B">
        <w:rPr>
          <w:rFonts w:ascii="Arial" w:hAnsi="Arial" w:cs="Arial"/>
          <w:color w:val="666666"/>
          <w:sz w:val="20"/>
          <w:szCs w:val="20"/>
        </w:rPr>
        <w:t xml:space="preserve">l’effetto crescita del mercato indiretto, rappresentato ad esempio dalle </w:t>
      </w:r>
      <w:r w:rsidRPr="00E65FFB">
        <w:rPr>
          <w:rFonts w:ascii="Arial" w:hAnsi="Arial" w:cs="Arial"/>
          <w:color w:val="666666"/>
          <w:sz w:val="20"/>
          <w:szCs w:val="20"/>
          <w:lang w:val="it-IT"/>
        </w:rPr>
        <w:t>task forces</w:t>
      </w:r>
      <w:r w:rsidRPr="00411F8B">
        <w:rPr>
          <w:rFonts w:ascii="Arial" w:hAnsi="Arial" w:cs="Arial"/>
          <w:color w:val="666666"/>
          <w:sz w:val="20"/>
          <w:szCs w:val="20"/>
        </w:rPr>
        <w:t xml:space="preserve">, guidate da direttori marittimi e direttori di macchina, che in ogni porto di scalo dovranno essere in grado di effettuare i controlli sui sistemi di automazione e sugli impianti di propulsione e navigazione a bordo delle unità automatizzate. </w:t>
      </w:r>
    </w:p>
    <w:p w14:paraId="6300F3D5" w14:textId="7603D123" w:rsidR="00411F8B" w:rsidRPr="00411F8B" w:rsidRDefault="00411F8B" w:rsidP="00411F8B">
      <w:pPr>
        <w:pStyle w:val="NormaleWeb"/>
        <w:shd w:val="clear" w:color="auto" w:fill="FFFFFF"/>
        <w:jc w:val="both"/>
        <w:rPr>
          <w:rFonts w:ascii="Arial" w:hAnsi="Arial" w:cs="Arial"/>
          <w:color w:val="666666"/>
          <w:sz w:val="20"/>
          <w:szCs w:val="20"/>
        </w:rPr>
      </w:pPr>
      <w:r w:rsidRPr="00411F8B">
        <w:rPr>
          <w:rFonts w:ascii="Arial" w:hAnsi="Arial" w:cs="Arial"/>
          <w:color w:val="666666"/>
          <w:sz w:val="20"/>
          <w:szCs w:val="20"/>
        </w:rPr>
        <w:t xml:space="preserve">Di certo si tratterà di un salto nel futuro. La </w:t>
      </w:r>
      <w:r w:rsidRPr="00E65FFB">
        <w:rPr>
          <w:rFonts w:ascii="Arial" w:hAnsi="Arial" w:cs="Arial"/>
          <w:color w:val="666666"/>
          <w:sz w:val="20"/>
          <w:szCs w:val="20"/>
          <w:lang w:val="it-IT"/>
        </w:rPr>
        <w:t>International Chamber of Shipping</w:t>
      </w:r>
      <w:r w:rsidRPr="00411F8B">
        <w:rPr>
          <w:rFonts w:ascii="Arial" w:hAnsi="Arial" w:cs="Arial"/>
          <w:color w:val="666666"/>
          <w:sz w:val="20"/>
          <w:szCs w:val="20"/>
        </w:rPr>
        <w:t xml:space="preserve"> non ha mancato di sottolineare i “danni collaterali” degli equipaggi ridotti, in termini di solitudine a bordo, scarse interrelazio</w:t>
      </w:r>
      <w:r>
        <w:rPr>
          <w:rFonts w:ascii="Arial" w:hAnsi="Arial" w:cs="Arial"/>
          <w:color w:val="666666"/>
          <w:sz w:val="20"/>
          <w:szCs w:val="20"/>
        </w:rPr>
        <w:t>ni umane e persino depressione.</w:t>
      </w:r>
    </w:p>
    <w:p w14:paraId="369717E8" w14:textId="2A8E9C12" w:rsidR="00411F8B" w:rsidRPr="00411F8B" w:rsidRDefault="00411F8B" w:rsidP="00411F8B">
      <w:pPr>
        <w:pStyle w:val="NormaleWeb"/>
        <w:shd w:val="clear" w:color="auto" w:fill="FFFFFF"/>
        <w:jc w:val="both"/>
        <w:rPr>
          <w:rFonts w:ascii="Arial" w:hAnsi="Arial" w:cs="Arial"/>
          <w:color w:val="666666"/>
          <w:sz w:val="20"/>
          <w:szCs w:val="20"/>
        </w:rPr>
      </w:pPr>
      <w:r w:rsidRPr="00411F8B">
        <w:rPr>
          <w:rFonts w:ascii="Arial" w:hAnsi="Arial" w:cs="Arial"/>
          <w:color w:val="666666"/>
          <w:sz w:val="20"/>
          <w:szCs w:val="20"/>
        </w:rPr>
        <w:t>Tornando alle navi senza o con scarsissimi componenti di equipaggio, mentre il mezzo navale sta prendendo forma in vari centri di ricerca in Gran Bretagna, Stati Uniti, Cina e Giappone, le control room ovvero un’Intelligent transport system vede all’avanguardia i tecnici giapponesi, in stretta collaborazione con A</w:t>
      </w:r>
      <w:r w:rsidR="009163D8">
        <w:rPr>
          <w:rFonts w:ascii="Arial" w:hAnsi="Arial" w:cs="Arial"/>
          <w:color w:val="666666"/>
          <w:sz w:val="20"/>
          <w:szCs w:val="20"/>
        </w:rPr>
        <w:t>MOS</w:t>
      </w:r>
      <w:r w:rsidRPr="00411F8B">
        <w:rPr>
          <w:rFonts w:ascii="Arial" w:hAnsi="Arial" w:cs="Arial"/>
          <w:color w:val="666666"/>
          <w:sz w:val="20"/>
          <w:szCs w:val="20"/>
        </w:rPr>
        <w:t>, Autonomous Marine Operations and Systems, fondato nel 2013 dal Dipartimento di Marine Technology and Engineering Cybernetics della Norwegian University of Science and Technology (NTNU) .</w:t>
      </w:r>
    </w:p>
    <w:p w14:paraId="6A79BA43" w14:textId="7C07C2A3" w:rsidR="00BC1AA4" w:rsidRDefault="00411F8B" w:rsidP="00411F8B">
      <w:pPr>
        <w:pStyle w:val="NormaleWeb"/>
        <w:shd w:val="clear" w:color="auto" w:fill="FFFFFF"/>
        <w:jc w:val="both"/>
        <w:rPr>
          <w:rFonts w:ascii="Arial" w:hAnsi="Arial" w:cs="Arial"/>
          <w:color w:val="666666"/>
          <w:sz w:val="20"/>
          <w:szCs w:val="20"/>
        </w:rPr>
      </w:pPr>
      <w:r w:rsidRPr="00411F8B">
        <w:rPr>
          <w:rFonts w:ascii="Arial" w:hAnsi="Arial" w:cs="Arial"/>
          <w:color w:val="666666"/>
          <w:sz w:val="20"/>
          <w:szCs w:val="20"/>
        </w:rPr>
        <w:t>AMOS (</w:t>
      </w:r>
      <w:r w:rsidR="004550B7" w:rsidRPr="004550B7">
        <w:rPr>
          <w:rFonts w:ascii="Arial" w:hAnsi="Arial" w:cs="Arial"/>
          <w:color w:val="666666"/>
          <w:sz w:val="20"/>
          <w:szCs w:val="20"/>
        </w:rPr>
        <w:t>da non confondere con il software omonimo</w:t>
      </w:r>
      <w:r w:rsidRPr="00411F8B">
        <w:rPr>
          <w:rFonts w:ascii="Arial" w:hAnsi="Arial" w:cs="Arial"/>
          <w:color w:val="666666"/>
          <w:sz w:val="20"/>
          <w:szCs w:val="20"/>
        </w:rPr>
        <w:t xml:space="preserve">) è attualmente impegnato prioritariamente su un progetto di piattaforma robotica per operazioni marittime sui temi di: </w:t>
      </w:r>
      <w:r w:rsidRPr="00E65FFB">
        <w:rPr>
          <w:rFonts w:ascii="Arial" w:hAnsi="Arial" w:cs="Arial"/>
          <w:color w:val="666666"/>
          <w:sz w:val="20"/>
          <w:szCs w:val="20"/>
          <w:lang w:val="it-IT"/>
        </w:rPr>
        <w:t>guidance, navigation and control of unmanned ships, underwater vehicles, aerial vehicles, and small-satellite systems.</w:t>
      </w:r>
      <w:r w:rsidR="00BE2998" w:rsidRPr="00E65FFB">
        <w:rPr>
          <w:rFonts w:ascii="Arial" w:hAnsi="Arial" w:cs="Arial"/>
          <w:color w:val="666666"/>
          <w:sz w:val="20"/>
          <w:szCs w:val="20"/>
          <w:lang w:val="it-IT"/>
        </w:rPr>
        <w:tab/>
      </w:r>
      <w:r w:rsidR="00BE2998" w:rsidRPr="009B5ACD">
        <w:rPr>
          <w:rFonts w:ascii="Arial" w:hAnsi="Arial" w:cs="Arial"/>
          <w:color w:val="666666"/>
          <w:sz w:val="20"/>
          <w:szCs w:val="20"/>
        </w:rPr>
        <w:tab/>
      </w:r>
      <w:r w:rsidR="00BE2998" w:rsidRPr="009B5ACD">
        <w:rPr>
          <w:rFonts w:ascii="Arial" w:hAnsi="Arial" w:cs="Arial"/>
          <w:color w:val="666666"/>
          <w:sz w:val="20"/>
          <w:szCs w:val="20"/>
        </w:rPr>
        <w:tab/>
      </w:r>
      <w:r w:rsidR="00BE2998" w:rsidRPr="009B5ACD">
        <w:rPr>
          <w:rFonts w:ascii="Arial" w:hAnsi="Arial" w:cs="Arial"/>
          <w:color w:val="666666"/>
          <w:sz w:val="20"/>
          <w:szCs w:val="20"/>
        </w:rPr>
        <w:tab/>
      </w:r>
      <w:r w:rsidR="00BE2998" w:rsidRPr="009B5ACD">
        <w:rPr>
          <w:rFonts w:ascii="Arial" w:hAnsi="Arial" w:cs="Arial"/>
          <w:color w:val="666666"/>
          <w:sz w:val="20"/>
          <w:szCs w:val="20"/>
        </w:rPr>
        <w:tab/>
      </w:r>
      <w:r w:rsidR="00BE2998" w:rsidRPr="009B5ACD">
        <w:rPr>
          <w:rFonts w:ascii="Arial" w:hAnsi="Arial" w:cs="Arial"/>
          <w:color w:val="666666"/>
          <w:sz w:val="20"/>
          <w:szCs w:val="20"/>
        </w:rPr>
        <w:tab/>
      </w:r>
      <w:r w:rsidR="00BE2998" w:rsidRPr="009B5ACD">
        <w:rPr>
          <w:rFonts w:ascii="Arial" w:hAnsi="Arial" w:cs="Arial"/>
          <w:color w:val="666666"/>
          <w:sz w:val="20"/>
          <w:szCs w:val="20"/>
        </w:rPr>
        <w:tab/>
      </w:r>
      <w:r w:rsidR="00BE2998" w:rsidRPr="009B5ACD">
        <w:rPr>
          <w:rFonts w:ascii="Arial" w:hAnsi="Arial" w:cs="Arial"/>
          <w:color w:val="666666"/>
          <w:sz w:val="20"/>
          <w:szCs w:val="20"/>
        </w:rPr>
        <w:tab/>
      </w:r>
      <w:r w:rsidR="00BE2998" w:rsidRPr="009B5ACD">
        <w:rPr>
          <w:rFonts w:ascii="Arial" w:hAnsi="Arial" w:cs="Arial"/>
          <w:color w:val="666666"/>
          <w:sz w:val="20"/>
          <w:szCs w:val="20"/>
        </w:rPr>
        <w:tab/>
      </w:r>
    </w:p>
    <w:p w14:paraId="2A0D1277" w14:textId="50C2F2F5" w:rsidR="003A4FDB" w:rsidRDefault="00666F77" w:rsidP="004550B7">
      <w:pPr>
        <w:pStyle w:val="NormaleWeb"/>
        <w:shd w:val="clear" w:color="auto" w:fill="FFFFFF"/>
        <w:jc w:val="right"/>
        <w:rPr>
          <w:rFonts w:ascii="Arial" w:hAnsi="Arial" w:cs="Arial"/>
          <w:color w:val="666666"/>
          <w:sz w:val="20"/>
          <w:szCs w:val="20"/>
        </w:rPr>
      </w:pPr>
      <w:r>
        <w:rPr>
          <w:rFonts w:ascii="Arial" w:hAnsi="Arial" w:cs="Arial"/>
          <w:color w:val="666666"/>
          <w:sz w:val="20"/>
          <w:szCs w:val="20"/>
        </w:rPr>
        <w:t>1</w:t>
      </w:r>
      <w:r w:rsidR="00FB075E">
        <w:rPr>
          <w:rFonts w:ascii="Arial" w:hAnsi="Arial" w:cs="Arial"/>
          <w:color w:val="666666"/>
          <w:sz w:val="20"/>
          <w:szCs w:val="20"/>
        </w:rPr>
        <w:t>4</w:t>
      </w:r>
      <w:r w:rsidR="00BE2998" w:rsidRPr="009B5ACD">
        <w:rPr>
          <w:rFonts w:ascii="Arial" w:hAnsi="Arial" w:cs="Arial"/>
          <w:color w:val="666666"/>
          <w:sz w:val="20"/>
          <w:szCs w:val="20"/>
        </w:rPr>
        <w:t xml:space="preserve"> </w:t>
      </w:r>
      <w:r w:rsidR="00411F8B">
        <w:rPr>
          <w:rFonts w:ascii="Arial" w:hAnsi="Arial" w:cs="Arial"/>
          <w:color w:val="666666"/>
          <w:sz w:val="20"/>
          <w:szCs w:val="20"/>
        </w:rPr>
        <w:t>settembre</w:t>
      </w:r>
      <w:r w:rsidR="00BE2998" w:rsidRPr="009B5ACD">
        <w:rPr>
          <w:rFonts w:ascii="Arial" w:hAnsi="Arial" w:cs="Arial"/>
          <w:color w:val="666666"/>
          <w:sz w:val="20"/>
          <w:szCs w:val="20"/>
        </w:rPr>
        <w:t xml:space="preserve"> 2020</w:t>
      </w:r>
    </w:p>
    <w:p w14:paraId="54C2BA1E" w14:textId="77777777" w:rsidR="003A4FDB" w:rsidRPr="003A4FDB" w:rsidRDefault="003E5804" w:rsidP="003A4FDB">
      <w:pPr>
        <w:pStyle w:val="Nessunaspaziatura"/>
        <w:rPr>
          <w:rFonts w:ascii="Arial" w:hAnsi="Arial" w:cs="Arial"/>
          <w:color w:val="767171" w:themeColor="background2" w:themeShade="80"/>
          <w:sz w:val="20"/>
          <w:szCs w:val="20"/>
        </w:rPr>
      </w:pPr>
      <w:r w:rsidRPr="003A4FDB">
        <w:rPr>
          <w:rFonts w:ascii="Arial" w:hAnsi="Arial" w:cs="Arial"/>
          <w:color w:val="767171" w:themeColor="background2" w:themeShade="80"/>
          <w:sz w:val="20"/>
          <w:szCs w:val="20"/>
        </w:rPr>
        <w:t>Per ulteriori informazioni</w:t>
      </w:r>
      <w:r w:rsidRPr="003A4FDB">
        <w:rPr>
          <w:rFonts w:ascii="Arial" w:hAnsi="Arial" w:cs="Arial"/>
          <w:color w:val="767171" w:themeColor="background2" w:themeShade="80"/>
          <w:sz w:val="20"/>
          <w:szCs w:val="20"/>
        </w:rPr>
        <w:br/>
        <w:t>Barbara Gazzale</w:t>
      </w:r>
    </w:p>
    <w:p w14:paraId="686C5F0E" w14:textId="4D6AE87D" w:rsidR="009B5ACD" w:rsidRPr="003A4FDB" w:rsidRDefault="002E37FD" w:rsidP="003A4FDB">
      <w:pPr>
        <w:pStyle w:val="Nessunaspaziatura"/>
        <w:rPr>
          <w:rFonts w:ascii="Arial" w:hAnsi="Arial" w:cs="Arial"/>
          <w:color w:val="767171" w:themeColor="background2" w:themeShade="80"/>
          <w:sz w:val="20"/>
          <w:szCs w:val="20"/>
        </w:rPr>
      </w:pPr>
      <w:r w:rsidRPr="003A4FDB">
        <w:rPr>
          <w:rFonts w:ascii="Arial" w:hAnsi="Arial" w:cs="Arial"/>
          <w:color w:val="767171" w:themeColor="background2" w:themeShade="80"/>
          <w:sz w:val="20"/>
          <w:szCs w:val="20"/>
        </w:rPr>
        <w:t xml:space="preserve">0039 </w:t>
      </w:r>
      <w:r w:rsidR="003E5804" w:rsidRPr="003A4FDB">
        <w:rPr>
          <w:rFonts w:ascii="Arial" w:hAnsi="Arial" w:cs="Arial"/>
          <w:color w:val="767171" w:themeColor="background2" w:themeShade="80"/>
          <w:sz w:val="20"/>
          <w:szCs w:val="20"/>
        </w:rPr>
        <w:t>348 41 44 780</w:t>
      </w:r>
    </w:p>
    <w:p w14:paraId="51B7806A" w14:textId="178CD4FF" w:rsidR="00CB2D70" w:rsidRDefault="002E37FD" w:rsidP="003A4FDB">
      <w:pPr>
        <w:pStyle w:val="Nessunaspaziatura"/>
        <w:rPr>
          <w:rFonts w:ascii="Arial" w:hAnsi="Arial" w:cs="Arial"/>
          <w:color w:val="767171" w:themeColor="background2" w:themeShade="80"/>
          <w:sz w:val="20"/>
          <w:szCs w:val="20"/>
        </w:rPr>
      </w:pPr>
      <w:r w:rsidRPr="003A4FDB">
        <w:rPr>
          <w:rFonts w:ascii="Arial" w:hAnsi="Arial" w:cs="Arial"/>
          <w:color w:val="767171" w:themeColor="background2" w:themeShade="80"/>
          <w:sz w:val="20"/>
          <w:szCs w:val="20"/>
        </w:rPr>
        <w:t>0041 78 6433361</w:t>
      </w:r>
    </w:p>
    <w:p w14:paraId="4DB49012" w14:textId="77777777" w:rsidR="00411F8B" w:rsidRDefault="00411F8B" w:rsidP="00411F8B">
      <w:pPr>
        <w:pStyle w:val="NormaleWeb"/>
        <w:shd w:val="clear" w:color="auto" w:fill="FFFFFF"/>
        <w:spacing w:before="0" w:beforeAutospacing="0"/>
        <w:jc w:val="both"/>
        <w:rPr>
          <w:rFonts w:ascii="Arial" w:hAnsi="Arial" w:cs="Arial"/>
          <w:sz w:val="22"/>
          <w:szCs w:val="22"/>
        </w:rPr>
      </w:pPr>
    </w:p>
    <w:p w14:paraId="2307D929" w14:textId="77777777" w:rsidR="00411F8B" w:rsidRDefault="00411F8B" w:rsidP="00411F8B">
      <w:pPr>
        <w:pStyle w:val="NormaleWeb"/>
        <w:shd w:val="clear" w:color="auto" w:fill="FFFFFF"/>
        <w:spacing w:before="0" w:beforeAutospacing="0"/>
        <w:jc w:val="both"/>
        <w:rPr>
          <w:rFonts w:ascii="Arial" w:hAnsi="Arial" w:cs="Arial"/>
          <w:sz w:val="22"/>
          <w:szCs w:val="22"/>
        </w:rPr>
      </w:pPr>
    </w:p>
    <w:p w14:paraId="7F22AC78" w14:textId="77777777" w:rsidR="00411F8B" w:rsidRDefault="00411F8B" w:rsidP="00411F8B">
      <w:pPr>
        <w:pStyle w:val="NormaleWeb"/>
        <w:shd w:val="clear" w:color="auto" w:fill="FFFFFF"/>
        <w:spacing w:before="0" w:beforeAutospacing="0"/>
        <w:jc w:val="both"/>
        <w:rPr>
          <w:rFonts w:ascii="Arial" w:hAnsi="Arial" w:cs="Arial"/>
          <w:sz w:val="22"/>
          <w:szCs w:val="22"/>
        </w:rPr>
      </w:pPr>
      <w:r>
        <w:rPr>
          <w:noProof/>
          <w:lang w:val="it-IT" w:eastAsia="it-IT"/>
        </w:rPr>
        <w:drawing>
          <wp:inline distT="0" distB="0" distL="0" distR="0" wp14:anchorId="1B0BD3D7" wp14:editId="2FCAAD7B">
            <wp:extent cx="4591050" cy="303413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91050" cy="303413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703F68BC" w14:textId="77777777" w:rsidR="00411F8B" w:rsidRPr="004E5364" w:rsidRDefault="00411F8B" w:rsidP="00411F8B">
      <w:pPr>
        <w:pStyle w:val="NormaleWeb"/>
        <w:shd w:val="clear" w:color="auto" w:fill="FFFFFF"/>
        <w:spacing w:before="0" w:beforeAutospacing="0"/>
        <w:jc w:val="both"/>
        <w:rPr>
          <w:rFonts w:ascii="Arial" w:hAnsi="Arial" w:cs="Arial"/>
          <w:sz w:val="22"/>
          <w:szCs w:val="22"/>
        </w:rPr>
      </w:pPr>
      <w:r>
        <w:rPr>
          <w:noProof/>
          <w:lang w:val="it-IT" w:eastAsia="it-IT"/>
        </w:rPr>
        <w:drawing>
          <wp:inline distT="0" distB="0" distL="0" distR="0" wp14:anchorId="0D6E2160" wp14:editId="5503239C">
            <wp:extent cx="4584700" cy="2755900"/>
            <wp:effectExtent l="0" t="0" r="6350" b="635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4BA1D8ED" w14:textId="77777777" w:rsidR="00411F8B" w:rsidRPr="00411F8B" w:rsidRDefault="00411F8B" w:rsidP="00411F8B">
      <w:pPr>
        <w:shd w:val="clear" w:color="auto" w:fill="FFFFFF"/>
        <w:spacing w:after="0" w:line="240" w:lineRule="auto"/>
        <w:rPr>
          <w:rFonts w:ascii="Arial" w:eastAsia="Times New Roman" w:hAnsi="Arial" w:cs="Arial"/>
          <w:color w:val="808080" w:themeColor="background1" w:themeShade="80"/>
          <w:sz w:val="20"/>
          <w:szCs w:val="20"/>
          <w:lang w:eastAsia="it-CH"/>
        </w:rPr>
      </w:pPr>
      <w:r w:rsidRPr="00411F8B">
        <w:rPr>
          <w:rFonts w:ascii="Arial" w:eastAsia="Times New Roman" w:hAnsi="Arial" w:cs="Arial"/>
          <w:color w:val="808080" w:themeColor="background1" w:themeShade="80"/>
          <w:sz w:val="20"/>
          <w:szCs w:val="20"/>
          <w:lang w:eastAsia="it-CH"/>
        </w:rPr>
        <w:t>(</w:t>
      </w:r>
      <w:proofErr w:type="gramStart"/>
      <w:r w:rsidRPr="00411F8B">
        <w:rPr>
          <w:rFonts w:ascii="Arial" w:eastAsia="Times New Roman" w:hAnsi="Arial" w:cs="Arial"/>
          <w:color w:val="808080" w:themeColor="background1" w:themeShade="80"/>
          <w:sz w:val="20"/>
          <w:szCs w:val="20"/>
          <w:lang w:eastAsia="it-CH"/>
        </w:rPr>
        <w:t>fonte</w:t>
      </w:r>
      <w:proofErr w:type="gramEnd"/>
      <w:r w:rsidRPr="00411F8B">
        <w:rPr>
          <w:rFonts w:ascii="Arial" w:eastAsia="Times New Roman" w:hAnsi="Arial" w:cs="Arial"/>
          <w:color w:val="808080" w:themeColor="background1" w:themeShade="80"/>
          <w:sz w:val="20"/>
          <w:szCs w:val="20"/>
          <w:lang w:eastAsia="it-CH"/>
        </w:rPr>
        <w:t>: Giampiero Soncini, Gruppo IB)</w:t>
      </w:r>
    </w:p>
    <w:p w14:paraId="42A6D614" w14:textId="77777777" w:rsidR="00411F8B" w:rsidRPr="003A4FDB" w:rsidRDefault="00411F8B" w:rsidP="003A4FDB">
      <w:pPr>
        <w:pStyle w:val="Nessunaspaziatura"/>
        <w:rPr>
          <w:rFonts w:ascii="Arial" w:hAnsi="Arial" w:cs="Arial"/>
          <w:color w:val="767171" w:themeColor="background2" w:themeShade="80"/>
          <w:sz w:val="20"/>
          <w:szCs w:val="20"/>
        </w:rPr>
      </w:pPr>
    </w:p>
    <w:sectPr w:rsidR="00411F8B" w:rsidRPr="003A4FDB" w:rsidSect="00200555">
      <w:headerReference w:type="default" r:id="rId9"/>
      <w:footerReference w:type="default" r:id="rId10"/>
      <w:pgSz w:w="11906" w:h="16838"/>
      <w:pgMar w:top="2835" w:right="707" w:bottom="1134" w:left="567" w:header="426" w:footer="4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66D76" w14:textId="77777777" w:rsidR="00355FC3" w:rsidRDefault="00355FC3" w:rsidP="00BF6CA3">
      <w:pPr>
        <w:spacing w:after="0" w:line="240" w:lineRule="auto"/>
      </w:pPr>
      <w:r>
        <w:separator/>
      </w:r>
    </w:p>
  </w:endnote>
  <w:endnote w:type="continuationSeparator" w:id="0">
    <w:p w14:paraId="0BBE3F3E" w14:textId="77777777" w:rsidR="00355FC3" w:rsidRDefault="00355FC3" w:rsidP="00BF6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2CFEC" w14:textId="77777777" w:rsidR="00C23F88" w:rsidRDefault="00C23F88" w:rsidP="00BF6CA3">
    <w:pPr>
      <w:pStyle w:val="Pidipagina"/>
      <w:ind w:left="-567"/>
      <w:jc w:val="center"/>
      <w:rPr>
        <w:color w:val="002060"/>
      </w:rPr>
    </w:pPr>
  </w:p>
  <w:p w14:paraId="054900C5" w14:textId="1E196C6D" w:rsidR="00BF6CA3" w:rsidRDefault="00BF6CA3" w:rsidP="00BF6CA3">
    <w:pPr>
      <w:pStyle w:val="Pidipagina"/>
      <w:ind w:left="-567"/>
      <w:jc w:val="center"/>
      <w:rPr>
        <w:color w:val="002060"/>
      </w:rPr>
    </w:pPr>
    <w:r>
      <w:rPr>
        <w:noProof/>
        <w:color w:val="002060"/>
        <w:lang w:eastAsia="it-IT"/>
      </w:rPr>
      <mc:AlternateContent>
        <mc:Choice Requires="wps">
          <w:drawing>
            <wp:anchor distT="0" distB="0" distL="114300" distR="114300" simplePos="0" relativeHeight="251659264" behindDoc="0" locked="0" layoutInCell="1" allowOverlap="1" wp14:anchorId="68A4D276" wp14:editId="423012B5">
              <wp:simplePos x="0" y="0"/>
              <wp:positionH relativeFrom="column">
                <wp:posOffset>-14989</wp:posOffset>
              </wp:positionH>
              <wp:positionV relativeFrom="paragraph">
                <wp:posOffset>-10016</wp:posOffset>
              </wp:positionV>
              <wp:extent cx="6806241" cy="0"/>
              <wp:effectExtent l="0" t="0" r="33020" b="19050"/>
              <wp:wrapNone/>
              <wp:docPr id="57" name="Connettore 1 57"/>
              <wp:cNvGraphicFramePr/>
              <a:graphic xmlns:a="http://schemas.openxmlformats.org/drawingml/2006/main">
                <a:graphicData uri="http://schemas.microsoft.com/office/word/2010/wordprocessingShape">
                  <wps:wsp>
                    <wps:cNvCnPr/>
                    <wps:spPr>
                      <a:xfrm>
                        <a:off x="0" y="0"/>
                        <a:ext cx="6806241" cy="0"/>
                      </a:xfrm>
                      <a:prstGeom prst="line">
                        <a:avLst/>
                      </a:prstGeom>
                      <a:ln>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400557" id="Connettore 1 5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8pt" to="534.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" strokecolor="#002060" strokeweight=".5pt">
              <v:stroke joinstyle="miter"/>
            </v:line>
          </w:pict>
        </mc:Fallback>
      </mc:AlternateContent>
    </w:r>
    <w:r w:rsidRPr="00BF6CA3">
      <w:rPr>
        <w:color w:val="002060"/>
      </w:rPr>
      <w:t>CENTRO STUDI | DATA&amp;MEDIA CENTER | BLUE BUSINESS CONNECTOR</w:t>
    </w:r>
  </w:p>
  <w:p w14:paraId="5CAF42A2" w14:textId="7B342246" w:rsidR="00BF6CA3" w:rsidRDefault="00BF6CA3" w:rsidP="00BF6CA3">
    <w:pPr>
      <w:pStyle w:val="Pidipagina"/>
      <w:tabs>
        <w:tab w:val="clear" w:pos="9638"/>
      </w:tabs>
      <w:ind w:left="-142"/>
      <w:jc w:val="center"/>
      <w:rPr>
        <w:color w:val="002060"/>
        <w:sz w:val="20"/>
      </w:rPr>
    </w:pPr>
    <w:r w:rsidRPr="00BF6CA3">
      <w:rPr>
        <w:color w:val="002060"/>
        <w:sz w:val="20"/>
      </w:rPr>
      <w:t>Società di promozione: BD COMMUNICATION Sagl - via Lucchini 1, CH - 6900 Lugano - 0041 764237450 - 0041 786433360</w:t>
    </w:r>
  </w:p>
  <w:p w14:paraId="4A9C1C1D" w14:textId="169B81D8" w:rsidR="00BF6CA3" w:rsidRPr="00E2693D" w:rsidRDefault="00355FC3" w:rsidP="00BC1AA4">
    <w:pPr>
      <w:pStyle w:val="Pidipagina"/>
      <w:tabs>
        <w:tab w:val="clear" w:pos="9638"/>
      </w:tabs>
      <w:ind w:left="-142"/>
      <w:jc w:val="center"/>
      <w:rPr>
        <w:b/>
        <w:color w:val="1F4E79" w:themeColor="accent1" w:themeShade="80"/>
        <w:sz w:val="20"/>
      </w:rPr>
    </w:pPr>
    <w:hyperlink r:id="rId1" w:history="1">
      <w:r w:rsidR="00BF6CA3" w:rsidRPr="00E2693D">
        <w:rPr>
          <w:rStyle w:val="Collegamentoipertestuale"/>
          <w:b/>
          <w:color w:val="1F4E79" w:themeColor="accent1" w:themeShade="80"/>
          <w:sz w:val="20"/>
          <w:u w:val="none"/>
        </w:rPr>
        <w:t>www.bluemonitorlab.com</w:t>
      </w:r>
    </w:hyperlink>
    <w:r w:rsidR="00BF6CA3" w:rsidRPr="00E2693D">
      <w:rPr>
        <w:b/>
        <w:color w:val="1F4E79" w:themeColor="accent1" w:themeShade="80"/>
        <w:sz w:val="20"/>
      </w:rPr>
      <w:t xml:space="preserve"> | </w:t>
    </w:r>
    <w:hyperlink r:id="rId2" w:history="1">
      <w:r w:rsidR="00176DAE" w:rsidRPr="00E2693D">
        <w:rPr>
          <w:rStyle w:val="Collegamentoipertestuale"/>
          <w:b/>
          <w:color w:val="1F4E79" w:themeColor="accent1" w:themeShade="80"/>
          <w:sz w:val="20"/>
          <w:u w:val="none"/>
        </w:rPr>
        <w:t>www.bluemonitorlab.org</w:t>
      </w:r>
    </w:hyperlink>
  </w:p>
  <w:p w14:paraId="676AC7F0" w14:textId="72B1EFCA" w:rsidR="00176DAE" w:rsidRPr="00BF6CA3" w:rsidRDefault="00176DAE" w:rsidP="00BC1AA4">
    <w:pPr>
      <w:pStyle w:val="Pidipagina"/>
      <w:tabs>
        <w:tab w:val="clear" w:pos="9638"/>
      </w:tabs>
      <w:ind w:left="-142"/>
      <w:jc w:val="center"/>
      <w:rPr>
        <w:b/>
        <w:color w:val="002060"/>
        <w:sz w:val="20"/>
      </w:rPr>
    </w:pPr>
    <w:proofErr w:type="gramStart"/>
    <w:r>
      <w:rPr>
        <w:b/>
        <w:color w:val="002060"/>
        <w:sz w:val="20"/>
      </w:rPr>
      <w:t>in</w:t>
    </w:r>
    <w:proofErr w:type="gramEnd"/>
    <w:r>
      <w:rPr>
        <w:b/>
        <w:color w:val="002060"/>
        <w:sz w:val="20"/>
      </w:rPr>
      <w:t xml:space="preserve"> collaborazione con</w:t>
    </w:r>
    <w:r w:rsidR="00D91F50">
      <w:rPr>
        <w:b/>
        <w:color w:val="002060"/>
        <w:sz w:val="20"/>
      </w:rPr>
      <w:t xml:space="preserve">    </w:t>
    </w:r>
    <w:r>
      <w:rPr>
        <w:b/>
        <w:color w:val="002060"/>
        <w:sz w:val="20"/>
      </w:rPr>
      <w:t xml:space="preserve"> </w:t>
    </w:r>
    <w:r>
      <w:rPr>
        <w:b/>
        <w:noProof/>
        <w:color w:val="002060"/>
        <w:sz w:val="20"/>
        <w:lang w:eastAsia="it-IT"/>
      </w:rPr>
      <w:drawing>
        <wp:inline distT="0" distB="0" distL="0" distR="0" wp14:anchorId="2904174A" wp14:editId="5C0D9F1C">
          <wp:extent cx="765810" cy="297948"/>
          <wp:effectExtent l="0" t="0" r="0" b="698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SValley.jpeg"/>
                  <pic:cNvPicPr/>
                </pic:nvPicPr>
                <pic:blipFill>
                  <a:blip r:embed="rId3">
                    <a:extLst>
                      <a:ext uri="{28A0092B-C50C-407E-A947-70E740481C1C}">
                        <a14:useLocalDpi xmlns:a14="http://schemas.microsoft.com/office/drawing/2010/main" val="0"/>
                      </a:ext>
                    </a:extLst>
                  </a:blip>
                  <a:stretch>
                    <a:fillRect/>
                  </a:stretch>
                </pic:blipFill>
                <pic:spPr>
                  <a:xfrm>
                    <a:off x="0" y="0"/>
                    <a:ext cx="901733" cy="350831"/>
                  </a:xfrm>
                  <a:prstGeom prst="rect">
                    <a:avLst/>
                  </a:prstGeom>
                </pic:spPr>
              </pic:pic>
            </a:graphicData>
          </a:graphic>
        </wp:inline>
      </w:drawing>
    </w:r>
    <w:r w:rsidR="00E9254B">
      <w:rPr>
        <w:b/>
        <w:color w:val="002060"/>
        <w:sz w:val="20"/>
      </w:rPr>
      <w:t xml:space="preserve">   </w:t>
    </w:r>
    <w:r w:rsidR="00E9254B">
      <w:rPr>
        <w:b/>
        <w:noProof/>
        <w:color w:val="002060"/>
        <w:sz w:val="20"/>
        <w:lang w:eastAsia="it-IT"/>
      </w:rPr>
      <w:drawing>
        <wp:inline distT="0" distB="0" distL="0" distR="0" wp14:anchorId="75B010CA" wp14:editId="7E811701">
          <wp:extent cx="1111250" cy="192436"/>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iuseppe razza.png"/>
                  <pic:cNvPicPr/>
                </pic:nvPicPr>
                <pic:blipFill>
                  <a:blip r:embed="rId4">
                    <a:extLst>
                      <a:ext uri="{28A0092B-C50C-407E-A947-70E740481C1C}">
                        <a14:useLocalDpi xmlns:a14="http://schemas.microsoft.com/office/drawing/2010/main" val="0"/>
                      </a:ext>
                    </a:extLst>
                  </a:blip>
                  <a:stretch>
                    <a:fillRect/>
                  </a:stretch>
                </pic:blipFill>
                <pic:spPr>
                  <a:xfrm>
                    <a:off x="0" y="0"/>
                    <a:ext cx="1203203" cy="20836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DFEF3" w14:textId="77777777" w:rsidR="00355FC3" w:rsidRDefault="00355FC3" w:rsidP="00BF6CA3">
      <w:pPr>
        <w:spacing w:after="0" w:line="240" w:lineRule="auto"/>
      </w:pPr>
      <w:r>
        <w:separator/>
      </w:r>
    </w:p>
  </w:footnote>
  <w:footnote w:type="continuationSeparator" w:id="0">
    <w:p w14:paraId="146EB1FC" w14:textId="77777777" w:rsidR="00355FC3" w:rsidRDefault="00355FC3" w:rsidP="00BF6C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EFD64" w14:textId="77777777" w:rsidR="00BF6CA3" w:rsidRDefault="00200555" w:rsidP="00200555">
    <w:pPr>
      <w:pStyle w:val="Intestazione"/>
      <w:jc w:val="center"/>
      <w:rPr>
        <w:noProof/>
        <w:lang w:eastAsia="it-IT"/>
      </w:rPr>
    </w:pPr>
    <w:r>
      <w:rPr>
        <w:noProof/>
        <w:lang w:eastAsia="it-IT"/>
      </w:rPr>
      <w:drawing>
        <wp:inline distT="0" distB="0" distL="0" distR="0" wp14:anchorId="4AA0FCE9" wp14:editId="1D134C37">
          <wp:extent cx="1364483" cy="1552754"/>
          <wp:effectExtent l="0" t="0" r="762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blue monitor lab.jpg"/>
                  <pic:cNvPicPr/>
                </pic:nvPicPr>
                <pic:blipFill rotWithShape="1">
                  <a:blip r:embed="rId1">
                    <a:extLst>
                      <a:ext uri="{28A0092B-C50C-407E-A947-70E740481C1C}">
                        <a14:useLocalDpi xmlns:a14="http://schemas.microsoft.com/office/drawing/2010/main" val="0"/>
                      </a:ext>
                    </a:extLst>
                  </a:blip>
                  <a:srcRect l="32110" t="33255" r="29962" b="36232"/>
                  <a:stretch/>
                </pic:blipFill>
                <pic:spPr bwMode="auto">
                  <a:xfrm>
                    <a:off x="0" y="0"/>
                    <a:ext cx="1379064" cy="1569347"/>
                  </a:xfrm>
                  <a:prstGeom prst="rect">
                    <a:avLst/>
                  </a:prstGeom>
                  <a:ln>
                    <a:noFill/>
                  </a:ln>
                  <a:extLst>
                    <a:ext uri="{53640926-AAD7-44D8-BBD7-CCE9431645EC}">
                      <a14:shadowObscured xmlns:a14="http://schemas.microsoft.com/office/drawing/2010/main"/>
                    </a:ext>
                  </a:extLst>
                </pic:spPr>
              </pic:pic>
            </a:graphicData>
          </a:graphic>
        </wp:inline>
      </w:drawing>
    </w:r>
  </w:p>
  <w:p w14:paraId="15CBA219" w14:textId="77777777" w:rsidR="00BF6CA3" w:rsidRDefault="00BF6CA3" w:rsidP="00BF6CA3">
    <w:pPr>
      <w:pStyle w:val="Intestazione"/>
      <w:jc w:val="center"/>
    </w:pPr>
  </w:p>
  <w:p w14:paraId="40165879" w14:textId="77777777" w:rsidR="00BF6CA3" w:rsidRDefault="003D2B2B" w:rsidP="003D2B2B">
    <w:pPr>
      <w:pStyle w:val="Intestazione"/>
      <w:tabs>
        <w:tab w:val="clear" w:pos="9638"/>
        <w:tab w:val="left" w:pos="4956"/>
        <w:tab w:val="left" w:pos="5664"/>
        <w:tab w:val="left" w:pos="6372"/>
        <w:tab w:val="left" w:pos="7080"/>
      </w:tabs>
    </w:pPr>
    <w:r>
      <w:rPr>
        <w:noProof/>
        <w:color w:val="002060"/>
        <w:lang w:eastAsia="it-IT"/>
      </w:rPr>
      <mc:AlternateContent>
        <mc:Choice Requires="wps">
          <w:drawing>
            <wp:anchor distT="0" distB="0" distL="114300" distR="114300" simplePos="0" relativeHeight="251661312" behindDoc="0" locked="0" layoutInCell="1" allowOverlap="1" wp14:anchorId="085F9E18" wp14:editId="5740B677">
              <wp:simplePos x="0" y="0"/>
              <wp:positionH relativeFrom="margin">
                <wp:align>left</wp:align>
              </wp:positionH>
              <wp:positionV relativeFrom="paragraph">
                <wp:posOffset>7393</wp:posOffset>
              </wp:positionV>
              <wp:extent cx="6806241" cy="0"/>
              <wp:effectExtent l="0" t="0" r="33020" b="19050"/>
              <wp:wrapNone/>
              <wp:docPr id="58" name="Connettore 1 58"/>
              <wp:cNvGraphicFramePr/>
              <a:graphic xmlns:a="http://schemas.openxmlformats.org/drawingml/2006/main">
                <a:graphicData uri="http://schemas.microsoft.com/office/word/2010/wordprocessingShape">
                  <wps:wsp>
                    <wps:cNvCnPr/>
                    <wps:spPr>
                      <a:xfrm>
                        <a:off x="0" y="0"/>
                        <a:ext cx="6806241" cy="0"/>
                      </a:xfrm>
                      <a:prstGeom prst="line">
                        <a:avLst/>
                      </a:prstGeom>
                      <a:ln>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1F84E9" id="Connettore 1 58"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6pt" to="535.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" strokecolor="#002060" strokeweight=".5pt">
              <v:stroke joinstyle="miter"/>
              <w10:wrap anchorx="margin"/>
            </v:line>
          </w:pict>
        </mc:Fallback>
      </mc:AlternateContent>
    </w:r>
    <w:r>
      <w:tab/>
    </w:r>
    <w:r>
      <w:tab/>
    </w:r>
    <w:r>
      <w:tab/>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CA3"/>
    <w:rsid w:val="00067F03"/>
    <w:rsid w:val="00084932"/>
    <w:rsid w:val="00094E36"/>
    <w:rsid w:val="000B28DD"/>
    <w:rsid w:val="000D5671"/>
    <w:rsid w:val="00130123"/>
    <w:rsid w:val="00176DAE"/>
    <w:rsid w:val="001F23AD"/>
    <w:rsid w:val="00200555"/>
    <w:rsid w:val="00204867"/>
    <w:rsid w:val="00250309"/>
    <w:rsid w:val="00265D4B"/>
    <w:rsid w:val="002758AD"/>
    <w:rsid w:val="002B01C2"/>
    <w:rsid w:val="002D716C"/>
    <w:rsid w:val="002E37FD"/>
    <w:rsid w:val="002F3A7F"/>
    <w:rsid w:val="002F59B5"/>
    <w:rsid w:val="00355FC3"/>
    <w:rsid w:val="003621C0"/>
    <w:rsid w:val="003A4FDB"/>
    <w:rsid w:val="003D2B2B"/>
    <w:rsid w:val="003E5804"/>
    <w:rsid w:val="00411F8B"/>
    <w:rsid w:val="00413A35"/>
    <w:rsid w:val="004550B7"/>
    <w:rsid w:val="0047025E"/>
    <w:rsid w:val="004B6541"/>
    <w:rsid w:val="0051032D"/>
    <w:rsid w:val="00532869"/>
    <w:rsid w:val="005619BF"/>
    <w:rsid w:val="005B284D"/>
    <w:rsid w:val="005D78B5"/>
    <w:rsid w:val="00607EAC"/>
    <w:rsid w:val="00636CF6"/>
    <w:rsid w:val="00666F77"/>
    <w:rsid w:val="00674781"/>
    <w:rsid w:val="006E0CFB"/>
    <w:rsid w:val="00703344"/>
    <w:rsid w:val="007A1594"/>
    <w:rsid w:val="00806FB4"/>
    <w:rsid w:val="00822506"/>
    <w:rsid w:val="008A549C"/>
    <w:rsid w:val="009163D8"/>
    <w:rsid w:val="009211B7"/>
    <w:rsid w:val="00972590"/>
    <w:rsid w:val="009A77A6"/>
    <w:rsid w:val="009B3815"/>
    <w:rsid w:val="009B5ACD"/>
    <w:rsid w:val="009E74DD"/>
    <w:rsid w:val="00A66A27"/>
    <w:rsid w:val="00A92A4F"/>
    <w:rsid w:val="00AF6C3B"/>
    <w:rsid w:val="00B27B14"/>
    <w:rsid w:val="00B86540"/>
    <w:rsid w:val="00BC1AA4"/>
    <w:rsid w:val="00BE2998"/>
    <w:rsid w:val="00BF2E89"/>
    <w:rsid w:val="00BF6CA3"/>
    <w:rsid w:val="00C06432"/>
    <w:rsid w:val="00C23F88"/>
    <w:rsid w:val="00C26C5C"/>
    <w:rsid w:val="00CB2D70"/>
    <w:rsid w:val="00CE70AC"/>
    <w:rsid w:val="00D91F50"/>
    <w:rsid w:val="00DA649C"/>
    <w:rsid w:val="00DF300E"/>
    <w:rsid w:val="00E2693D"/>
    <w:rsid w:val="00E65FFB"/>
    <w:rsid w:val="00E9254B"/>
    <w:rsid w:val="00EA279C"/>
    <w:rsid w:val="00F01579"/>
    <w:rsid w:val="00F70F58"/>
    <w:rsid w:val="00FA2EAE"/>
    <w:rsid w:val="00FA59DE"/>
    <w:rsid w:val="00FB075E"/>
    <w:rsid w:val="00FB38DD"/>
    <w:rsid w:val="00FD70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E7DB8C"/>
  <w15:chartTrackingRefBased/>
  <w15:docId w15:val="{7CF6F933-21A0-48D3-9237-D9A61FED6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F6C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F6CA3"/>
  </w:style>
  <w:style w:type="paragraph" w:styleId="Pidipagina">
    <w:name w:val="footer"/>
    <w:basedOn w:val="Normale"/>
    <w:link w:val="PidipaginaCarattere"/>
    <w:uiPriority w:val="99"/>
    <w:unhideWhenUsed/>
    <w:rsid w:val="00BF6C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F6CA3"/>
  </w:style>
  <w:style w:type="character" w:styleId="Collegamentoipertestuale">
    <w:name w:val="Hyperlink"/>
    <w:basedOn w:val="Carpredefinitoparagrafo"/>
    <w:uiPriority w:val="99"/>
    <w:unhideWhenUsed/>
    <w:rsid w:val="00BF6CA3"/>
    <w:rPr>
      <w:color w:val="0563C1" w:themeColor="hyperlink"/>
      <w:u w:val="single"/>
    </w:rPr>
  </w:style>
  <w:style w:type="paragraph" w:styleId="NormaleWeb">
    <w:name w:val="Normal (Web)"/>
    <w:basedOn w:val="Normale"/>
    <w:uiPriority w:val="99"/>
    <w:unhideWhenUsed/>
    <w:rsid w:val="003E5804"/>
    <w:pPr>
      <w:spacing w:before="100" w:beforeAutospacing="1" w:after="100" w:afterAutospacing="1" w:line="240" w:lineRule="auto"/>
    </w:pPr>
    <w:rPr>
      <w:rFonts w:ascii="Times New Roman" w:eastAsia="Times New Roman" w:hAnsi="Times New Roman" w:cs="Times New Roman"/>
      <w:sz w:val="24"/>
      <w:szCs w:val="24"/>
      <w:lang w:val="it-CH" w:eastAsia="it-CH"/>
    </w:rPr>
  </w:style>
  <w:style w:type="character" w:customStyle="1" w:styleId="UnresolvedMention">
    <w:name w:val="Unresolved Mention"/>
    <w:basedOn w:val="Carpredefinitoparagrafo"/>
    <w:uiPriority w:val="99"/>
    <w:semiHidden/>
    <w:unhideWhenUsed/>
    <w:rsid w:val="00176DAE"/>
    <w:rPr>
      <w:color w:val="605E5C"/>
      <w:shd w:val="clear" w:color="auto" w:fill="E1DFDD"/>
    </w:rPr>
  </w:style>
  <w:style w:type="paragraph" w:styleId="Nessunaspaziatura">
    <w:name w:val="No Spacing"/>
    <w:uiPriority w:val="1"/>
    <w:qFormat/>
    <w:rsid w:val="009B5A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4281">
      <w:bodyDiv w:val="1"/>
      <w:marLeft w:val="0"/>
      <w:marRight w:val="0"/>
      <w:marTop w:val="0"/>
      <w:marBottom w:val="0"/>
      <w:divBdr>
        <w:top w:val="none" w:sz="0" w:space="0" w:color="auto"/>
        <w:left w:val="none" w:sz="0" w:space="0" w:color="auto"/>
        <w:bottom w:val="none" w:sz="0" w:space="0" w:color="auto"/>
        <w:right w:val="none" w:sz="0" w:space="0" w:color="auto"/>
      </w:divBdr>
    </w:div>
    <w:div w:id="280915770">
      <w:bodyDiv w:val="1"/>
      <w:marLeft w:val="0"/>
      <w:marRight w:val="0"/>
      <w:marTop w:val="0"/>
      <w:marBottom w:val="0"/>
      <w:divBdr>
        <w:top w:val="none" w:sz="0" w:space="0" w:color="auto"/>
        <w:left w:val="none" w:sz="0" w:space="0" w:color="auto"/>
        <w:bottom w:val="none" w:sz="0" w:space="0" w:color="auto"/>
        <w:right w:val="none" w:sz="0" w:space="0" w:color="auto"/>
      </w:divBdr>
    </w:div>
    <w:div w:id="596408506">
      <w:bodyDiv w:val="1"/>
      <w:marLeft w:val="0"/>
      <w:marRight w:val="0"/>
      <w:marTop w:val="0"/>
      <w:marBottom w:val="0"/>
      <w:divBdr>
        <w:top w:val="none" w:sz="0" w:space="0" w:color="auto"/>
        <w:left w:val="none" w:sz="0" w:space="0" w:color="auto"/>
        <w:bottom w:val="none" w:sz="0" w:space="0" w:color="auto"/>
        <w:right w:val="none" w:sz="0" w:space="0" w:color="auto"/>
      </w:divBdr>
    </w:div>
    <w:div w:id="84247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hyperlink" Target="http://www.bluemonitorlab.org" TargetMode="External"/><Relationship Id="rId1" Type="http://schemas.openxmlformats.org/officeDocument/2006/relationships/hyperlink" Target="http://www.bluemonitorlab.com"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51231-8111-4BCF-A122-9E275EDCD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919</Words>
  <Characters>5240</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2020-09-14T10:04:00Z</dcterms:created>
  <dcterms:modified xsi:type="dcterms:W3CDTF">2020-09-14T12:28:00Z</dcterms:modified>
</cp:coreProperties>
</file>