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8C265" w14:textId="45DEBFA0" w:rsidR="005459CA" w:rsidRDefault="00D8550D" w:rsidP="00D8550D">
      <w:pPr>
        <w:ind w:hanging="1134"/>
      </w:pPr>
      <w:r>
        <w:rPr>
          <w:noProof/>
          <w:lang w:val="it-CH" w:eastAsia="it-CH"/>
        </w:rPr>
        <w:drawing>
          <wp:inline distT="0" distB="0" distL="0" distR="0" wp14:anchorId="2BE43A03" wp14:editId="62573024">
            <wp:extent cx="7458283" cy="1419225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921" cy="142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A4235" w14:textId="7D449A38" w:rsidR="00D8550D" w:rsidRDefault="00D8550D" w:rsidP="00D8550D">
      <w:pPr>
        <w:ind w:hanging="1134"/>
      </w:pPr>
    </w:p>
    <w:p w14:paraId="3FAB44CD" w14:textId="77777777" w:rsidR="00406C71" w:rsidRDefault="00406C71" w:rsidP="00406C71">
      <w:pPr>
        <w:jc w:val="center"/>
        <w:rPr>
          <w:b/>
          <w:bCs/>
          <w:sz w:val="32"/>
          <w:szCs w:val="32"/>
          <w:u w:val="single"/>
        </w:rPr>
      </w:pPr>
    </w:p>
    <w:p w14:paraId="140FD9E4" w14:textId="287B5440" w:rsidR="00406C71" w:rsidRDefault="00406C71" w:rsidP="00406C71">
      <w:pPr>
        <w:jc w:val="center"/>
        <w:rPr>
          <w:b/>
          <w:bCs/>
          <w:sz w:val="32"/>
          <w:szCs w:val="32"/>
          <w:u w:val="single"/>
        </w:rPr>
      </w:pPr>
      <w:r w:rsidRPr="00406C71">
        <w:rPr>
          <w:b/>
          <w:bCs/>
          <w:sz w:val="32"/>
          <w:szCs w:val="32"/>
          <w:u w:val="single"/>
        </w:rPr>
        <w:t>COMUNICATO STAMPA</w:t>
      </w:r>
    </w:p>
    <w:p w14:paraId="1E5BE4AF" w14:textId="77777777" w:rsidR="00406C71" w:rsidRPr="00406C71" w:rsidRDefault="00406C71" w:rsidP="00406C71">
      <w:pPr>
        <w:jc w:val="center"/>
        <w:rPr>
          <w:b/>
          <w:bCs/>
          <w:sz w:val="32"/>
          <w:szCs w:val="32"/>
          <w:u w:val="single"/>
        </w:rPr>
      </w:pPr>
    </w:p>
    <w:p w14:paraId="49D95318" w14:textId="77777777" w:rsidR="00406C71" w:rsidRDefault="00406C71" w:rsidP="00AA28B8">
      <w:pPr>
        <w:rPr>
          <w:u w:val="single"/>
        </w:rPr>
      </w:pPr>
    </w:p>
    <w:p w14:paraId="0114B9F0" w14:textId="3F26AD76" w:rsidR="00AA28B8" w:rsidRPr="00406C71" w:rsidRDefault="00AA28B8" w:rsidP="00406C71">
      <w:pPr>
        <w:jc w:val="both"/>
        <w:rPr>
          <w:rFonts w:ascii="Arial" w:hAnsi="Arial" w:cs="Arial"/>
          <w:sz w:val="24"/>
          <w:szCs w:val="24"/>
          <w:u w:val="single"/>
        </w:rPr>
      </w:pPr>
      <w:r w:rsidRPr="00406C71">
        <w:rPr>
          <w:rFonts w:ascii="Arial" w:hAnsi="Arial" w:cs="Arial"/>
          <w:sz w:val="24"/>
          <w:szCs w:val="24"/>
          <w:u w:val="single"/>
        </w:rPr>
        <w:t>Il 24 novembre la quarta edizione del Convegno internazionale</w:t>
      </w:r>
    </w:p>
    <w:p w14:paraId="132DED01" w14:textId="77777777" w:rsidR="00AA28B8" w:rsidRPr="00406C71" w:rsidRDefault="00AA28B8" w:rsidP="00406C71">
      <w:pPr>
        <w:jc w:val="both"/>
        <w:rPr>
          <w:rFonts w:ascii="Arial" w:hAnsi="Arial" w:cs="Arial"/>
          <w:sz w:val="24"/>
          <w:szCs w:val="24"/>
        </w:rPr>
      </w:pPr>
    </w:p>
    <w:p w14:paraId="63E9F769" w14:textId="11D76F55" w:rsidR="00AA28B8" w:rsidRPr="00406C71" w:rsidRDefault="00AA28B8" w:rsidP="00406C71">
      <w:pPr>
        <w:jc w:val="both"/>
        <w:rPr>
          <w:rFonts w:ascii="Arial" w:hAnsi="Arial" w:cs="Arial"/>
          <w:sz w:val="32"/>
          <w:szCs w:val="32"/>
        </w:rPr>
      </w:pPr>
      <w:r w:rsidRPr="00406C71">
        <w:rPr>
          <w:rFonts w:ascii="Arial" w:hAnsi="Arial" w:cs="Arial"/>
          <w:sz w:val="32"/>
          <w:szCs w:val="32"/>
        </w:rPr>
        <w:t>“</w:t>
      </w:r>
      <w:r w:rsidR="005D71E5">
        <w:rPr>
          <w:rFonts w:ascii="Arial" w:hAnsi="Arial" w:cs="Arial"/>
          <w:sz w:val="32"/>
          <w:szCs w:val="32"/>
        </w:rPr>
        <w:t>Un m</w:t>
      </w:r>
      <w:r w:rsidRPr="00406C71">
        <w:rPr>
          <w:rFonts w:ascii="Arial" w:hAnsi="Arial" w:cs="Arial"/>
          <w:sz w:val="32"/>
          <w:szCs w:val="32"/>
        </w:rPr>
        <w:t>are di Svizzera</w:t>
      </w:r>
      <w:r w:rsidR="00406C71">
        <w:rPr>
          <w:rFonts w:ascii="Arial" w:hAnsi="Arial" w:cs="Arial"/>
          <w:sz w:val="32"/>
          <w:szCs w:val="32"/>
        </w:rPr>
        <w:t xml:space="preserve"> </w:t>
      </w:r>
      <w:r w:rsidRPr="00406C71">
        <w:rPr>
          <w:rFonts w:ascii="Arial" w:hAnsi="Arial" w:cs="Arial"/>
          <w:sz w:val="32"/>
          <w:szCs w:val="32"/>
        </w:rPr>
        <w:t>4”: riflettori accesi</w:t>
      </w:r>
    </w:p>
    <w:p w14:paraId="21C55764" w14:textId="4660C159" w:rsidR="00AA28B8" w:rsidRPr="00406C71" w:rsidRDefault="00AA28B8" w:rsidP="00406C71">
      <w:pPr>
        <w:jc w:val="both"/>
        <w:rPr>
          <w:rFonts w:ascii="Arial" w:hAnsi="Arial" w:cs="Arial"/>
          <w:sz w:val="32"/>
          <w:szCs w:val="32"/>
        </w:rPr>
      </w:pPr>
      <w:r w:rsidRPr="00406C71">
        <w:rPr>
          <w:rFonts w:ascii="Arial" w:hAnsi="Arial" w:cs="Arial"/>
          <w:sz w:val="32"/>
          <w:szCs w:val="32"/>
        </w:rPr>
        <w:t>sul futuro di un Ticino legato alla logistica</w:t>
      </w:r>
    </w:p>
    <w:p w14:paraId="08E660E2" w14:textId="77777777" w:rsidR="00406C71" w:rsidRPr="00406C71" w:rsidRDefault="00406C71" w:rsidP="00406C71">
      <w:pPr>
        <w:jc w:val="both"/>
        <w:rPr>
          <w:rFonts w:ascii="Arial" w:hAnsi="Arial" w:cs="Arial"/>
          <w:sz w:val="24"/>
          <w:szCs w:val="24"/>
        </w:rPr>
      </w:pPr>
    </w:p>
    <w:p w14:paraId="2AB66A33" w14:textId="091F60A6" w:rsidR="00AA28B8" w:rsidRDefault="00AA28B8" w:rsidP="00406C71">
      <w:pPr>
        <w:jc w:val="both"/>
        <w:rPr>
          <w:rFonts w:ascii="Arial" w:hAnsi="Arial" w:cs="Arial"/>
          <w:sz w:val="24"/>
          <w:szCs w:val="24"/>
          <w:u w:val="single"/>
        </w:rPr>
      </w:pPr>
      <w:r w:rsidRPr="00406C71">
        <w:rPr>
          <w:rFonts w:ascii="Arial" w:hAnsi="Arial" w:cs="Arial"/>
          <w:sz w:val="24"/>
          <w:szCs w:val="24"/>
          <w:u w:val="single"/>
        </w:rPr>
        <w:t>In anteprima i grandi piani di sviluppo portuale di Genova in connessione con la Svizzera</w:t>
      </w:r>
    </w:p>
    <w:p w14:paraId="13CB69AB" w14:textId="77777777" w:rsidR="00406C71" w:rsidRPr="00406C71" w:rsidRDefault="00406C71" w:rsidP="00406C71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3314FC52" w14:textId="63041AC1" w:rsidR="00AA28B8" w:rsidRDefault="005D71E5" w:rsidP="00406C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m</w:t>
      </w:r>
      <w:bookmarkStart w:id="0" w:name="_GoBack"/>
      <w:bookmarkEnd w:id="0"/>
      <w:r w:rsidR="00AA28B8" w:rsidRPr="00406C71">
        <w:rPr>
          <w:rFonts w:ascii="Arial" w:hAnsi="Arial" w:cs="Arial"/>
          <w:sz w:val="24"/>
          <w:szCs w:val="24"/>
        </w:rPr>
        <w:t>are di Svizzera 4. Torna a Lugano il tradizionale appuntamento sul futuro del Ticino in quanto “terra di mezzo” fra l’oltre Gottardo e la concentrazione industriale e produttiva a sud, sull’impatto delle nuove infrastrutture e il possibile insediamento di nuove attività strategiche. La Conferenza quest’anno si svolgerà il 24 novembre presso la consueta sede d</w:t>
      </w:r>
      <w:r w:rsidR="00406C71">
        <w:rPr>
          <w:rFonts w:ascii="Arial" w:hAnsi="Arial" w:cs="Arial"/>
          <w:sz w:val="24"/>
          <w:szCs w:val="24"/>
        </w:rPr>
        <w:t>e</w:t>
      </w:r>
      <w:r w:rsidR="00AA28B8" w:rsidRPr="00406C71">
        <w:rPr>
          <w:rFonts w:ascii="Arial" w:hAnsi="Arial" w:cs="Arial"/>
          <w:sz w:val="24"/>
          <w:szCs w:val="24"/>
        </w:rPr>
        <w:t>l L</w:t>
      </w:r>
      <w:r w:rsidR="00406C71">
        <w:rPr>
          <w:rFonts w:ascii="Arial" w:hAnsi="Arial" w:cs="Arial"/>
          <w:sz w:val="24"/>
          <w:szCs w:val="24"/>
        </w:rPr>
        <w:t>AC</w:t>
      </w:r>
      <w:r w:rsidR="00AA28B8" w:rsidRPr="00406C71">
        <w:rPr>
          <w:rFonts w:ascii="Arial" w:hAnsi="Arial" w:cs="Arial"/>
          <w:sz w:val="24"/>
          <w:szCs w:val="24"/>
        </w:rPr>
        <w:t xml:space="preserve"> di Lugano e vedrà anche un</w:t>
      </w:r>
      <w:r w:rsidR="00406C71">
        <w:rPr>
          <w:rFonts w:ascii="Arial" w:hAnsi="Arial" w:cs="Arial"/>
          <w:sz w:val="24"/>
          <w:szCs w:val="24"/>
        </w:rPr>
        <w:t>’</w:t>
      </w:r>
      <w:r w:rsidR="00AA28B8" w:rsidRPr="00406C71">
        <w:rPr>
          <w:rFonts w:ascii="Arial" w:hAnsi="Arial" w:cs="Arial"/>
          <w:sz w:val="24"/>
          <w:szCs w:val="24"/>
        </w:rPr>
        <w:t>intera sessione dedicata allo sviluppo delle relazioni fra la Svizzera e i porti dell’alto Tirreno, con la presentazione in anteprima del timing delle grandi opere che verranno realizzat</w:t>
      </w:r>
      <w:r w:rsidR="00406C71">
        <w:rPr>
          <w:rFonts w:ascii="Arial" w:hAnsi="Arial" w:cs="Arial"/>
          <w:sz w:val="24"/>
          <w:szCs w:val="24"/>
        </w:rPr>
        <w:t>e</w:t>
      </w:r>
      <w:r w:rsidR="00AA28B8" w:rsidRPr="00406C71">
        <w:rPr>
          <w:rFonts w:ascii="Arial" w:hAnsi="Arial" w:cs="Arial"/>
          <w:sz w:val="24"/>
          <w:szCs w:val="24"/>
        </w:rPr>
        <w:t xml:space="preserve"> in particolare nel porto e per il porto di Genova. Dibattito aperto anche sui delicatissimi equilibri nel mercato internazionale della logistica con riflettori accesi</w:t>
      </w:r>
      <w:r w:rsidR="00406C71">
        <w:rPr>
          <w:rFonts w:ascii="Arial" w:hAnsi="Arial" w:cs="Arial"/>
          <w:sz w:val="24"/>
          <w:szCs w:val="24"/>
        </w:rPr>
        <w:t>, fra l’altro,</w:t>
      </w:r>
      <w:r w:rsidR="00AA28B8" w:rsidRPr="00406C71">
        <w:rPr>
          <w:rFonts w:ascii="Arial" w:hAnsi="Arial" w:cs="Arial"/>
          <w:sz w:val="24"/>
          <w:szCs w:val="24"/>
        </w:rPr>
        <w:t xml:space="preserve"> sull’incremento dei noli, </w:t>
      </w:r>
      <w:r w:rsidR="00406C71">
        <w:rPr>
          <w:rFonts w:ascii="Arial" w:hAnsi="Arial" w:cs="Arial"/>
          <w:sz w:val="24"/>
          <w:szCs w:val="24"/>
        </w:rPr>
        <w:t>sul</w:t>
      </w:r>
      <w:r w:rsidR="00AA28B8" w:rsidRPr="00406C71">
        <w:rPr>
          <w:rFonts w:ascii="Arial" w:hAnsi="Arial" w:cs="Arial"/>
          <w:sz w:val="24"/>
          <w:szCs w:val="24"/>
        </w:rPr>
        <w:t xml:space="preserve"> costo delle materie prime</w:t>
      </w:r>
      <w:r w:rsidR="00406C71">
        <w:rPr>
          <w:rFonts w:ascii="Arial" w:hAnsi="Arial" w:cs="Arial"/>
          <w:sz w:val="24"/>
          <w:szCs w:val="24"/>
        </w:rPr>
        <w:t xml:space="preserve"> e sulla </w:t>
      </w:r>
      <w:r w:rsidR="00AA28B8" w:rsidRPr="00406C71">
        <w:rPr>
          <w:rFonts w:ascii="Arial" w:hAnsi="Arial" w:cs="Arial"/>
          <w:sz w:val="24"/>
          <w:szCs w:val="24"/>
        </w:rPr>
        <w:t>scarsità di autisti nel mondo dell’autotrasporto.</w:t>
      </w:r>
    </w:p>
    <w:p w14:paraId="5E16F5F4" w14:textId="31E6712D" w:rsidR="00373A3F" w:rsidRDefault="00373A3F" w:rsidP="00406C71">
      <w:pPr>
        <w:jc w:val="both"/>
        <w:rPr>
          <w:rFonts w:ascii="Arial" w:hAnsi="Arial" w:cs="Arial"/>
          <w:sz w:val="24"/>
          <w:szCs w:val="24"/>
        </w:rPr>
      </w:pPr>
    </w:p>
    <w:p w14:paraId="70909586" w14:textId="17C2259F" w:rsidR="00373A3F" w:rsidRPr="00406C71" w:rsidRDefault="00373A3F" w:rsidP="00406C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Lugano, </w:t>
      </w:r>
      <w:r w:rsidR="00081090">
        <w:rPr>
          <w:rFonts w:ascii="Arial" w:hAnsi="Arial" w:cs="Arial"/>
          <w:sz w:val="24"/>
          <w:szCs w:val="24"/>
        </w:rPr>
        <w:t xml:space="preserve">12 </w:t>
      </w:r>
      <w:r>
        <w:rPr>
          <w:rFonts w:ascii="Arial" w:hAnsi="Arial" w:cs="Arial"/>
          <w:sz w:val="24"/>
          <w:szCs w:val="24"/>
        </w:rPr>
        <w:t>ottobre 2021</w:t>
      </w:r>
    </w:p>
    <w:p w14:paraId="3B591B68" w14:textId="4BDD435D" w:rsidR="00D8550D" w:rsidRDefault="00AA28B8" w:rsidP="00D8550D">
      <w:r>
        <w:rPr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7DDF44E3" wp14:editId="00940A8F">
            <wp:simplePos x="0" y="0"/>
            <wp:positionH relativeFrom="column">
              <wp:posOffset>89535</wp:posOffset>
            </wp:positionH>
            <wp:positionV relativeFrom="paragraph">
              <wp:posOffset>7882255</wp:posOffset>
            </wp:positionV>
            <wp:extent cx="6120130" cy="874395"/>
            <wp:effectExtent l="0" t="0" r="0" b="190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550D" w:rsidSect="00AA28B8">
      <w:pgSz w:w="11906" w:h="16838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0D"/>
    <w:rsid w:val="00081090"/>
    <w:rsid w:val="00373A3F"/>
    <w:rsid w:val="00406C71"/>
    <w:rsid w:val="005459CA"/>
    <w:rsid w:val="005D71E5"/>
    <w:rsid w:val="00AA28B8"/>
    <w:rsid w:val="00D8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E4D24"/>
  <w15:chartTrackingRefBased/>
  <w15:docId w15:val="{34DB36B5-980F-4A6E-B307-038332A7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Bruno</cp:lastModifiedBy>
  <cp:revision>5</cp:revision>
  <dcterms:created xsi:type="dcterms:W3CDTF">2021-10-11T09:37:00Z</dcterms:created>
  <dcterms:modified xsi:type="dcterms:W3CDTF">2021-10-12T09:28:00Z</dcterms:modified>
</cp:coreProperties>
</file>