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C9ED0" w14:textId="22FB1569" w:rsidR="008605E5" w:rsidRDefault="008605E5" w:rsidP="003E75EA">
      <w:pPr>
        <w:jc w:val="center"/>
        <w:rPr>
          <w:rFonts w:ascii="Arial" w:hAnsi="Arial" w:cs="Arial"/>
          <w:sz w:val="36"/>
          <w:szCs w:val="40"/>
        </w:rPr>
      </w:pPr>
      <w:r>
        <w:rPr>
          <w:rFonts w:ascii="Arial" w:hAnsi="Arial" w:cs="Arial"/>
          <w:sz w:val="36"/>
          <w:szCs w:val="40"/>
        </w:rPr>
        <w:t xml:space="preserve">Laghezza: “Garantire al nuovo </w:t>
      </w:r>
      <w:r w:rsidR="004D51BE">
        <w:rPr>
          <w:rFonts w:ascii="Arial" w:hAnsi="Arial" w:cs="Arial"/>
          <w:sz w:val="36"/>
          <w:szCs w:val="40"/>
        </w:rPr>
        <w:t>C</w:t>
      </w:r>
      <w:r>
        <w:rPr>
          <w:rFonts w:ascii="Arial" w:hAnsi="Arial" w:cs="Arial"/>
          <w:sz w:val="36"/>
          <w:szCs w:val="40"/>
        </w:rPr>
        <w:t>ommissario</w:t>
      </w:r>
    </w:p>
    <w:p w14:paraId="53B4A017" w14:textId="08EDB650" w:rsidR="008605E5" w:rsidRDefault="008605E5" w:rsidP="003E75EA">
      <w:pPr>
        <w:jc w:val="center"/>
        <w:rPr>
          <w:rFonts w:ascii="Arial" w:hAnsi="Arial" w:cs="Arial"/>
          <w:sz w:val="36"/>
          <w:szCs w:val="40"/>
        </w:rPr>
      </w:pPr>
      <w:proofErr w:type="gramStart"/>
      <w:r>
        <w:rPr>
          <w:rFonts w:ascii="Arial" w:hAnsi="Arial" w:cs="Arial"/>
          <w:sz w:val="36"/>
          <w:szCs w:val="40"/>
        </w:rPr>
        <w:t>gli</w:t>
      </w:r>
      <w:proofErr w:type="gramEnd"/>
      <w:r>
        <w:rPr>
          <w:rFonts w:ascii="Arial" w:hAnsi="Arial" w:cs="Arial"/>
          <w:sz w:val="36"/>
          <w:szCs w:val="40"/>
        </w:rPr>
        <w:t xml:space="preserve"> strumenti per rilanciare il porto di La Spezia”</w:t>
      </w:r>
    </w:p>
    <w:p w14:paraId="6ED84678" w14:textId="77777777" w:rsidR="005C4B8B" w:rsidRDefault="005C4B8B" w:rsidP="003E75EA">
      <w:pPr>
        <w:jc w:val="center"/>
        <w:rPr>
          <w:rFonts w:ascii="Arial" w:hAnsi="Arial" w:cs="Arial"/>
          <w:sz w:val="36"/>
          <w:szCs w:val="40"/>
        </w:rPr>
      </w:pPr>
    </w:p>
    <w:p w14:paraId="6CB08E7F" w14:textId="77777777" w:rsidR="008605E5" w:rsidRDefault="008605E5" w:rsidP="003E75EA">
      <w:pPr>
        <w:jc w:val="center"/>
        <w:rPr>
          <w:rFonts w:ascii="Arial" w:hAnsi="Arial" w:cs="Arial"/>
          <w:sz w:val="36"/>
          <w:szCs w:val="40"/>
        </w:rPr>
      </w:pPr>
    </w:p>
    <w:p w14:paraId="0E2DF3AC" w14:textId="042260E5" w:rsidR="003E75EA" w:rsidRDefault="008605E5" w:rsidP="003E75E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Dalla Comunità </w:t>
      </w:r>
      <w:r w:rsidR="004C2455">
        <w:rPr>
          <w:sz w:val="28"/>
          <w:szCs w:val="28"/>
          <w:u w:val="single"/>
        </w:rPr>
        <w:t>P</w:t>
      </w:r>
      <w:r>
        <w:rPr>
          <w:sz w:val="28"/>
          <w:szCs w:val="28"/>
          <w:u w:val="single"/>
        </w:rPr>
        <w:t xml:space="preserve">ortuale pieno sostegno a Di Sarcina, già Segretario </w:t>
      </w:r>
      <w:proofErr w:type="spellStart"/>
      <w:r>
        <w:rPr>
          <w:sz w:val="28"/>
          <w:szCs w:val="28"/>
          <w:u w:val="single"/>
        </w:rPr>
        <w:t>dell’A</w:t>
      </w:r>
      <w:r w:rsidR="004C2455">
        <w:rPr>
          <w:sz w:val="28"/>
          <w:szCs w:val="28"/>
          <w:u w:val="single"/>
        </w:rPr>
        <w:t>d</w:t>
      </w:r>
      <w:r w:rsidR="001E63A7">
        <w:rPr>
          <w:sz w:val="28"/>
          <w:szCs w:val="28"/>
          <w:u w:val="single"/>
        </w:rPr>
        <w:t>S</w:t>
      </w:r>
      <w:r>
        <w:rPr>
          <w:sz w:val="28"/>
          <w:szCs w:val="28"/>
          <w:u w:val="single"/>
        </w:rPr>
        <w:t>P</w:t>
      </w:r>
      <w:proofErr w:type="spellEnd"/>
    </w:p>
    <w:p w14:paraId="21DCC885" w14:textId="77777777" w:rsidR="003E75EA" w:rsidRPr="003E75EA" w:rsidRDefault="003E75EA" w:rsidP="003E75EA">
      <w:pPr>
        <w:jc w:val="center"/>
        <w:rPr>
          <w:sz w:val="28"/>
          <w:szCs w:val="28"/>
          <w:u w:val="single"/>
        </w:rPr>
      </w:pPr>
    </w:p>
    <w:p w14:paraId="5F6E9B9E" w14:textId="77777777" w:rsidR="005333B4" w:rsidRDefault="005333B4" w:rsidP="00687DD9"/>
    <w:p w14:paraId="2D213AC4" w14:textId="77777777" w:rsidR="005C4B8B" w:rsidRDefault="005C4B8B" w:rsidP="00687DD9"/>
    <w:p w14:paraId="241D4818" w14:textId="594230C5" w:rsidR="00A03E35" w:rsidRDefault="00A03E35" w:rsidP="003943A8">
      <w:pPr>
        <w:jc w:val="both"/>
      </w:pPr>
      <w:r>
        <w:t xml:space="preserve">Continuità, ma anche accelerazione dei processi per </w:t>
      </w:r>
      <w:r w:rsidR="00724A5B">
        <w:t xml:space="preserve">il completamento del Piano </w:t>
      </w:r>
      <w:r w:rsidR="00E269E5">
        <w:t>R</w:t>
      </w:r>
      <w:r w:rsidR="00724A5B">
        <w:t xml:space="preserve">egolatore </w:t>
      </w:r>
      <w:r w:rsidR="00E269E5">
        <w:t>P</w:t>
      </w:r>
      <w:r w:rsidR="00724A5B">
        <w:t>ortuale, sia per quanto riguarda il traffico merci che crocier</w:t>
      </w:r>
      <w:r w:rsidR="00E269E5">
        <w:t>istico</w:t>
      </w:r>
      <w:r w:rsidR="00724A5B">
        <w:t>, secondo il percorso ben illustrato dal D</w:t>
      </w:r>
      <w:r w:rsidR="00E269E5">
        <w:t xml:space="preserve">ocumento di </w:t>
      </w:r>
      <w:r w:rsidR="00724A5B">
        <w:t>P</w:t>
      </w:r>
      <w:r w:rsidR="00E269E5">
        <w:t xml:space="preserve">ianificazione </w:t>
      </w:r>
      <w:r w:rsidR="00724A5B">
        <w:t>S</w:t>
      </w:r>
      <w:r w:rsidR="00E269E5">
        <w:t>trategica di Sistema</w:t>
      </w:r>
      <w:r w:rsidR="00724A5B">
        <w:t>, che attende una pronta realizzazione</w:t>
      </w:r>
      <w:r>
        <w:t xml:space="preserve"> </w:t>
      </w:r>
      <w:r w:rsidR="00E269E5">
        <w:t>d</w:t>
      </w:r>
      <w:r>
        <w:t xml:space="preserve">elle nuove infrastrutture in particolare </w:t>
      </w:r>
      <w:r w:rsidR="00ED7645">
        <w:t xml:space="preserve">quelle </w:t>
      </w:r>
      <w:r>
        <w:t>relative allo sviluppo delle aree container, alla logistica che ne consegue, e alle crociere, che viaggiano purtroppo sul consueto ritardo della tabella di marcia burocratica.</w:t>
      </w:r>
    </w:p>
    <w:p w14:paraId="61817204" w14:textId="2E6D8148" w:rsidR="00A03E35" w:rsidRDefault="001E63A7" w:rsidP="00A03E35">
      <w:pPr>
        <w:jc w:val="both"/>
      </w:pPr>
      <w:r>
        <w:t>“</w:t>
      </w:r>
      <w:r w:rsidR="00A03E35">
        <w:t xml:space="preserve">E, </w:t>
      </w:r>
      <w:r w:rsidR="00E269E5">
        <w:t>affinché</w:t>
      </w:r>
      <w:r w:rsidR="008605E5">
        <w:t xml:space="preserve"> </w:t>
      </w:r>
      <w:r w:rsidR="00A03E35">
        <w:t>ciò accada – sottolinea Alessandro Laghezza, Presidente di</w:t>
      </w:r>
      <w:r w:rsidR="00ED7645">
        <w:t xml:space="preserve"> </w:t>
      </w:r>
      <w:r w:rsidR="00A03E35">
        <w:t xml:space="preserve">Confetra Liguria, rivolgendosi direttamente al </w:t>
      </w:r>
      <w:r w:rsidR="004C2455">
        <w:t>M</w:t>
      </w:r>
      <w:r w:rsidR="00A03E35">
        <w:t>inistro De Micheli  – è indispensabile che Francesco Di Sarcina</w:t>
      </w:r>
      <w:r w:rsidR="00724A5B">
        <w:t>,</w:t>
      </w:r>
      <w:r w:rsidR="00A03E35">
        <w:t xml:space="preserve"> nuovo Commissario nominato al timone </w:t>
      </w:r>
      <w:r w:rsidR="003943A8">
        <w:t>dell’Autorità di Sistema Portuale del Mar Ligure Orientale</w:t>
      </w:r>
      <w:r w:rsidR="00A03E35">
        <w:t xml:space="preserve">, </w:t>
      </w:r>
      <w:r w:rsidR="00724A5B">
        <w:t xml:space="preserve">sia dotato </w:t>
      </w:r>
      <w:r w:rsidR="00A03E35">
        <w:t>dei poteri</w:t>
      </w:r>
      <w:r w:rsidR="00E269E5">
        <w:t xml:space="preserve"> </w:t>
      </w:r>
      <w:r w:rsidR="00A03E35">
        <w:t>indispensabili per andare oltre alla gestione dell’ordinaria amministrazione, dis</w:t>
      </w:r>
      <w:r w:rsidR="00724A5B">
        <w:t>ponendo</w:t>
      </w:r>
      <w:r w:rsidR="00A03E35">
        <w:t xml:space="preserve"> di una garanzia di continuità </w:t>
      </w:r>
      <w:r w:rsidR="00724A5B">
        <w:t>c</w:t>
      </w:r>
      <w:bookmarkStart w:id="0" w:name="_GoBack"/>
      <w:bookmarkEnd w:id="0"/>
      <w:r w:rsidR="00724A5B">
        <w:t>he gli consenta di completare, con il sostegno</w:t>
      </w:r>
      <w:r w:rsidR="00A03E35">
        <w:t xml:space="preserve"> coeso</w:t>
      </w:r>
      <w:r w:rsidR="00724A5B">
        <w:t>,</w:t>
      </w:r>
      <w:r w:rsidR="00A03E35">
        <w:t xml:space="preserve"> che già la Comunità portuale gli assicura</w:t>
      </w:r>
      <w:r w:rsidR="00724A5B">
        <w:t xml:space="preserve">, il percorso iniziato come </w:t>
      </w:r>
      <w:r w:rsidR="00E269E5">
        <w:t>S</w:t>
      </w:r>
      <w:r w:rsidR="00724A5B">
        <w:t xml:space="preserve">egretario </w:t>
      </w:r>
      <w:r w:rsidR="00E269E5">
        <w:t>G</w:t>
      </w:r>
      <w:r w:rsidR="00724A5B">
        <w:t>enerale d</w:t>
      </w:r>
      <w:r w:rsidR="00E269E5">
        <w:t>ell’</w:t>
      </w:r>
      <w:r w:rsidR="00724A5B">
        <w:t>A</w:t>
      </w:r>
      <w:r w:rsidR="00E269E5">
        <w:t xml:space="preserve">utorità </w:t>
      </w:r>
      <w:r w:rsidR="00724A5B">
        <w:t>d</w:t>
      </w:r>
      <w:r w:rsidR="00E269E5">
        <w:t xml:space="preserve">i </w:t>
      </w:r>
      <w:r w:rsidR="00724A5B">
        <w:t>S</w:t>
      </w:r>
      <w:r w:rsidR="00E269E5">
        <w:t xml:space="preserve">istema </w:t>
      </w:r>
      <w:r w:rsidR="00724A5B">
        <w:t>P</w:t>
      </w:r>
      <w:r w:rsidR="00E269E5">
        <w:t>ortuale del Mar Ligure Orientale</w:t>
      </w:r>
      <w:r w:rsidR="00724A5B">
        <w:t>,</w:t>
      </w:r>
      <w:r w:rsidR="0029085C">
        <w:t xml:space="preserve"> percorso</w:t>
      </w:r>
      <w:r w:rsidR="00724A5B">
        <w:t xml:space="preserve"> che oggi merita di essere</w:t>
      </w:r>
      <w:r w:rsidR="00A03E35">
        <w:t xml:space="preserve"> </w:t>
      </w:r>
      <w:r w:rsidR="00724A5B">
        <w:t>valorizzato</w:t>
      </w:r>
      <w:r w:rsidR="004C2455">
        <w:t>”</w:t>
      </w:r>
      <w:r w:rsidR="0029085C">
        <w:t>.</w:t>
      </w:r>
    </w:p>
    <w:p w14:paraId="56F0014C" w14:textId="2B22E388" w:rsidR="003943A8" w:rsidRDefault="00A03E35" w:rsidP="003943A8">
      <w:pPr>
        <w:jc w:val="both"/>
      </w:pPr>
      <w:r>
        <w:t xml:space="preserve">Secondo Laghezza </w:t>
      </w:r>
      <w:r w:rsidR="003943A8">
        <w:t xml:space="preserve"> “il porto di La Spezia</w:t>
      </w:r>
      <w:r>
        <w:t xml:space="preserve">, che </w:t>
      </w:r>
      <w:r w:rsidR="003943A8">
        <w:t xml:space="preserve"> è stato per molti anni un punto di riferimento per efficienza e competitività</w:t>
      </w:r>
      <w:r>
        <w:t xml:space="preserve"> di tutta la portualità nazionale</w:t>
      </w:r>
      <w:r w:rsidR="00E269E5">
        <w:t>,</w:t>
      </w:r>
      <w:r>
        <w:t xml:space="preserve"> contribuendo</w:t>
      </w:r>
      <w:r w:rsidR="00E269E5">
        <w:t>ne</w:t>
      </w:r>
      <w:r>
        <w:t xml:space="preserve"> in modo determinante alla definizione</w:t>
      </w:r>
      <w:r w:rsidR="004C2455">
        <w:t>,</w:t>
      </w:r>
      <w:r>
        <w:t xml:space="preserve"> </w:t>
      </w:r>
      <w:r w:rsidR="00724A5B">
        <w:t xml:space="preserve">alle principali innovazioni </w:t>
      </w:r>
      <w:r w:rsidR="00E269E5">
        <w:t>normative e procedural</w:t>
      </w:r>
      <w:r w:rsidR="004C2455">
        <w:t>i</w:t>
      </w:r>
      <w:r w:rsidR="00E269E5">
        <w:t xml:space="preserve">, dalla legge 84/94 alla </w:t>
      </w:r>
      <w:r w:rsidR="00ED7645">
        <w:t xml:space="preserve"> prima applicazione dello </w:t>
      </w:r>
      <w:r w:rsidR="003943A8">
        <w:t>Sportello Unico Doganale</w:t>
      </w:r>
      <w:r w:rsidR="00ED7645">
        <w:t xml:space="preserve">, si trova ad affrontare sfide importanti, che richiedono una guida salda e specialmente uomini, come Di Sarcina, che conoscano a fondo il porto e non siano precipitati invece da altri mondi, come la burocrazia ministeriale o la politica. È quindi indispensabile che non venga interrotto </w:t>
      </w:r>
      <w:r w:rsidR="003943A8">
        <w:t xml:space="preserve">un processo virtuoso </w:t>
      </w:r>
      <w:r w:rsidR="00ED7645">
        <w:t>che si traduca in una rapida realizzazione delle nuove opere alle quali è legata la competitività del porto</w:t>
      </w:r>
      <w:r w:rsidR="008605E5">
        <w:t>”</w:t>
      </w:r>
      <w:r w:rsidR="003943A8">
        <w:t>.</w:t>
      </w:r>
    </w:p>
    <w:p w14:paraId="1FCE62B2" w14:textId="4FB79A5C" w:rsidR="00987FE8" w:rsidRDefault="003943A8" w:rsidP="003943A8">
      <w:pPr>
        <w:jc w:val="both"/>
      </w:pPr>
      <w:r>
        <w:t>“La Comunità Portuale - conclude Laghezza - segue con attenzione questo percorso, al quale ha sempre contribuito e continuerà a contribuire con idee e progetti, nell’auspicio che La Spezia mantenga e sviluppi il suo ruolo centrale nel sistema logistico e portuale italiano”.</w:t>
      </w:r>
    </w:p>
    <w:p w14:paraId="3D254B17" w14:textId="77777777" w:rsidR="003943A8" w:rsidRDefault="003943A8" w:rsidP="003943A8">
      <w:pPr>
        <w:jc w:val="both"/>
        <w:rPr>
          <w:rStyle w:val="Nessuno"/>
          <w:i/>
          <w:iCs/>
        </w:rPr>
      </w:pPr>
    </w:p>
    <w:p w14:paraId="4BAD1C9B" w14:textId="77777777" w:rsidR="005333B4" w:rsidRDefault="005333B4" w:rsidP="00EA2F84">
      <w:pPr>
        <w:jc w:val="right"/>
        <w:rPr>
          <w:rStyle w:val="Nessuno"/>
          <w:i/>
          <w:iCs/>
        </w:rPr>
      </w:pPr>
    </w:p>
    <w:p w14:paraId="4B2F4D42" w14:textId="0090FF94" w:rsidR="00C5326E" w:rsidRDefault="005462CB" w:rsidP="00EA2F84">
      <w:pPr>
        <w:jc w:val="right"/>
        <w:rPr>
          <w:rStyle w:val="Nessuno"/>
          <w:i/>
          <w:iCs/>
        </w:rPr>
      </w:pPr>
      <w:r w:rsidRPr="002968B7">
        <w:rPr>
          <w:rStyle w:val="Nessuno"/>
          <w:i/>
          <w:iCs/>
        </w:rPr>
        <w:t xml:space="preserve">La Spezia, </w:t>
      </w:r>
      <w:r w:rsidR="003943A8" w:rsidRPr="004C2455">
        <w:rPr>
          <w:rStyle w:val="Nessuno"/>
          <w:i/>
          <w:iCs/>
        </w:rPr>
        <w:t>05</w:t>
      </w:r>
      <w:r w:rsidR="003943A8">
        <w:rPr>
          <w:rStyle w:val="Nessuno"/>
          <w:i/>
          <w:iCs/>
        </w:rPr>
        <w:t xml:space="preserve"> novembre </w:t>
      </w:r>
      <w:r w:rsidRPr="002968B7">
        <w:rPr>
          <w:rStyle w:val="Nessuno"/>
          <w:i/>
          <w:iCs/>
        </w:rPr>
        <w:t>20</w:t>
      </w:r>
      <w:r w:rsidR="000B5C15">
        <w:rPr>
          <w:rStyle w:val="Nessuno"/>
          <w:i/>
          <w:iCs/>
        </w:rPr>
        <w:t>20</w:t>
      </w:r>
    </w:p>
    <w:p w14:paraId="70B3CCD8" w14:textId="77777777" w:rsidR="005462CB" w:rsidRDefault="005462CB">
      <w:pPr>
        <w:jc w:val="both"/>
        <w:rPr>
          <w:rStyle w:val="Nessuno"/>
          <w:i/>
          <w:iCs/>
        </w:rPr>
      </w:pPr>
    </w:p>
    <w:p w14:paraId="55A98AC2" w14:textId="77777777" w:rsidR="003943A8" w:rsidRDefault="003943A8">
      <w:pPr>
        <w:jc w:val="both"/>
        <w:rPr>
          <w:rStyle w:val="Nessuno"/>
          <w:i/>
          <w:iCs/>
        </w:rPr>
      </w:pPr>
    </w:p>
    <w:p w14:paraId="5ABE7E01" w14:textId="77777777" w:rsidR="003943A8" w:rsidRDefault="003943A8">
      <w:pPr>
        <w:jc w:val="both"/>
        <w:rPr>
          <w:rStyle w:val="Nessuno"/>
          <w:i/>
          <w:iCs/>
        </w:rPr>
      </w:pPr>
    </w:p>
    <w:p w14:paraId="3CC65B94" w14:textId="77777777" w:rsidR="00912FDC" w:rsidRDefault="007802B0">
      <w:pPr>
        <w:jc w:val="both"/>
        <w:rPr>
          <w:rStyle w:val="Nessuno"/>
          <w:i/>
          <w:iCs/>
        </w:rPr>
      </w:pPr>
      <w:r>
        <w:rPr>
          <w:rStyle w:val="Nessuno"/>
          <w:i/>
          <w:iCs/>
        </w:rPr>
        <w:t xml:space="preserve">Per ulteriori informazioni </w:t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</w:p>
    <w:p w14:paraId="20B3FFD4" w14:textId="77777777" w:rsidR="00912FDC" w:rsidRDefault="007802B0">
      <w:pPr>
        <w:jc w:val="both"/>
        <w:rPr>
          <w:rStyle w:val="Nessuno"/>
          <w:i/>
          <w:iCs/>
        </w:rPr>
      </w:pPr>
      <w:r>
        <w:rPr>
          <w:rStyle w:val="Nessuno"/>
          <w:i/>
          <w:iCs/>
        </w:rPr>
        <w:t xml:space="preserve">Barbara </w:t>
      </w:r>
      <w:proofErr w:type="spellStart"/>
      <w:r>
        <w:rPr>
          <w:rStyle w:val="Nessuno"/>
          <w:i/>
          <w:iCs/>
        </w:rPr>
        <w:t>Gazzale</w:t>
      </w:r>
      <w:proofErr w:type="spellEnd"/>
    </w:p>
    <w:p w14:paraId="346A314C" w14:textId="77777777" w:rsidR="00912FDC" w:rsidRDefault="007802B0">
      <w:pPr>
        <w:jc w:val="both"/>
      </w:pPr>
      <w:r>
        <w:rPr>
          <w:rStyle w:val="Nessuno"/>
          <w:i/>
          <w:iCs/>
        </w:rPr>
        <w:t>348 4144780</w:t>
      </w:r>
    </w:p>
    <w:sectPr w:rsidR="00912F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985" w:right="1361" w:bottom="1077" w:left="1361" w:header="709" w:footer="4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8C84AF" w14:textId="77777777" w:rsidR="00D22490" w:rsidRDefault="00D22490" w:rsidP="00D55698">
      <w:r>
        <w:separator/>
      </w:r>
    </w:p>
  </w:endnote>
  <w:endnote w:type="continuationSeparator" w:id="0">
    <w:p w14:paraId="540D467A" w14:textId="77777777" w:rsidR="00D22490" w:rsidRDefault="00D22490" w:rsidP="00D55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variable"/>
    <w:sig w:usb0="00000001" w:usb1="40000048" w:usb2="00000000" w:usb3="00000000" w:csb0="000001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7B63F" w14:textId="77777777" w:rsidR="00D55698" w:rsidRDefault="00D55698" w:rsidP="00D5569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2B656" w14:textId="77777777" w:rsidR="00912FDC" w:rsidRDefault="00912FDC" w:rsidP="00D55698">
    <w:pPr>
      <w:jc w:val="center"/>
    </w:pPr>
  </w:p>
  <w:p w14:paraId="69EA0783" w14:textId="77777777" w:rsidR="00D55698" w:rsidRDefault="00D55698" w:rsidP="00D55698">
    <w:pPr>
      <w:jc w:val="center"/>
      <w:rPr>
        <w:rStyle w:val="Nessuno"/>
        <w:rFonts w:ascii="Arial" w:hAnsi="Arial"/>
        <w:b/>
        <w:bCs/>
        <w:color w:val="25358E"/>
        <w:sz w:val="20"/>
        <w:szCs w:val="20"/>
        <w:u w:color="25358E"/>
      </w:rPr>
    </w:pPr>
  </w:p>
  <w:p w14:paraId="522F199C" w14:textId="77777777" w:rsidR="00D55698" w:rsidRDefault="00D55698" w:rsidP="00D55698">
    <w:pPr>
      <w:jc w:val="center"/>
      <w:rPr>
        <w:rStyle w:val="Nessuno"/>
        <w:rFonts w:ascii="Arial" w:hAnsi="Arial"/>
        <w:b/>
        <w:bCs/>
        <w:color w:val="25358E"/>
        <w:sz w:val="20"/>
        <w:szCs w:val="20"/>
        <w:u w:color="25358E"/>
      </w:rPr>
    </w:pPr>
  </w:p>
  <w:p w14:paraId="73F65A86" w14:textId="77777777" w:rsidR="00912FDC" w:rsidRDefault="007802B0" w:rsidP="00D55698">
    <w:pPr>
      <w:jc w:val="center"/>
    </w:pPr>
    <w:r>
      <w:rPr>
        <w:rStyle w:val="Nessuno"/>
        <w:rFonts w:ascii="Arial" w:hAnsi="Arial"/>
        <w:b/>
        <w:bCs/>
        <w:color w:val="25358E"/>
        <w:sz w:val="20"/>
        <w:szCs w:val="20"/>
        <w:u w:color="25358E"/>
      </w:rPr>
      <w:t>CONFETRA LIGURIA</w:t>
    </w:r>
    <w:r>
      <w:rPr>
        <w:rStyle w:val="Nessuno"/>
        <w:rFonts w:ascii="Arial" w:hAnsi="Arial"/>
        <w:color w:val="25358E"/>
        <w:sz w:val="20"/>
        <w:szCs w:val="20"/>
        <w:u w:color="25358E"/>
      </w:rPr>
      <w:t xml:space="preserve"> </w:t>
    </w:r>
    <w:r>
      <w:rPr>
        <w:rStyle w:val="Nessuno"/>
        <w:rFonts w:ascii="Arial Unicode MS" w:eastAsia="Arial Unicode MS" w:hAnsi="Arial Unicode MS" w:cs="Arial Unicode MS"/>
        <w:color w:val="25358E"/>
        <w:sz w:val="17"/>
        <w:szCs w:val="17"/>
        <w:u w:color="25358E"/>
      </w:rPr>
      <w:br/>
    </w:r>
    <w:r>
      <w:rPr>
        <w:rStyle w:val="Nessuno"/>
        <w:rFonts w:ascii="Arial" w:hAnsi="Arial"/>
        <w:color w:val="25358E"/>
        <w:sz w:val="17"/>
        <w:szCs w:val="17"/>
        <w:u w:color="25358E"/>
      </w:rPr>
      <w:t>Sede: Via Roma 9/4 16121 Genova / Tel: +39 010 5451986 / e-mail: confetra.liguria@confetra.com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EB02C8" w14:textId="77777777" w:rsidR="00D55698" w:rsidRDefault="00D55698" w:rsidP="00D5569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8980DB" w14:textId="77777777" w:rsidR="00D22490" w:rsidRDefault="00D22490" w:rsidP="00D55698">
      <w:r>
        <w:separator/>
      </w:r>
    </w:p>
  </w:footnote>
  <w:footnote w:type="continuationSeparator" w:id="0">
    <w:p w14:paraId="28FA26A5" w14:textId="77777777" w:rsidR="00D22490" w:rsidRDefault="00D22490" w:rsidP="00D55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3FF8B" w14:textId="77777777" w:rsidR="00D55698" w:rsidRDefault="00D55698" w:rsidP="00D5569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E55C2" w14:textId="77777777" w:rsidR="00912FDC" w:rsidRDefault="007802B0" w:rsidP="00D55698">
    <w:pPr>
      <w:pStyle w:val="Intestazione"/>
      <w:tabs>
        <w:tab w:val="clear" w:pos="9638"/>
        <w:tab w:val="right" w:pos="9158"/>
      </w:tabs>
      <w:spacing w:line="180" w:lineRule="exact"/>
      <w:ind w:firstLine="6662"/>
      <w:rPr>
        <w:rStyle w:val="Nessuno"/>
        <w:rFonts w:ascii="Lucida Handwriting" w:eastAsia="Lucida Handwriting" w:hAnsi="Lucida Handwriting" w:cs="Lucida Handwriting"/>
        <w:b/>
        <w:bCs/>
        <w:color w:val="A6A6A6"/>
        <w:sz w:val="20"/>
        <w:szCs w:val="20"/>
        <w:u w:color="A6A6A6"/>
      </w:rPr>
    </w:pPr>
    <w:r>
      <w:rPr>
        <w:rFonts w:ascii="Lucida Handwriting" w:eastAsia="Lucida Handwriting" w:hAnsi="Lucida Handwriting" w:cs="Lucida Handwriting"/>
        <w:noProof/>
        <w:color w:val="25358E"/>
        <w:sz w:val="22"/>
        <w:szCs w:val="22"/>
        <w:u w:color="25358E"/>
        <w:lang w:val="it-CH"/>
      </w:rPr>
      <w:drawing>
        <wp:anchor distT="152400" distB="152400" distL="152400" distR="152400" simplePos="0" relativeHeight="251658240" behindDoc="1" locked="0" layoutInCell="1" allowOverlap="1" wp14:anchorId="7E94AED3" wp14:editId="2903E21E">
          <wp:simplePos x="0" y="0"/>
          <wp:positionH relativeFrom="page">
            <wp:posOffset>4685029</wp:posOffset>
          </wp:positionH>
          <wp:positionV relativeFrom="page">
            <wp:posOffset>392430</wp:posOffset>
          </wp:positionV>
          <wp:extent cx="1911350" cy="918210"/>
          <wp:effectExtent l="0" t="0" r="0" b="0"/>
          <wp:wrapNone/>
          <wp:docPr id="1073741825" name="officeArt object" descr="cartina ligur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artina liguria" descr="cartina liguri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1350" cy="9182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Lucida Handwriting" w:eastAsia="Lucida Handwriting" w:hAnsi="Lucida Handwriting" w:cs="Lucida Handwriting"/>
        <w:noProof/>
        <w:color w:val="25358E"/>
        <w:sz w:val="22"/>
        <w:szCs w:val="22"/>
        <w:u w:color="25358E"/>
        <w:lang w:val="it-CH"/>
      </w:rPr>
      <w:drawing>
        <wp:anchor distT="152400" distB="152400" distL="152400" distR="152400" simplePos="0" relativeHeight="251659264" behindDoc="1" locked="0" layoutInCell="1" allowOverlap="1" wp14:anchorId="15067058" wp14:editId="33109279">
          <wp:simplePos x="0" y="0"/>
          <wp:positionH relativeFrom="page">
            <wp:posOffset>810895</wp:posOffset>
          </wp:positionH>
          <wp:positionV relativeFrom="page">
            <wp:posOffset>561975</wp:posOffset>
          </wp:positionV>
          <wp:extent cx="3016886" cy="748666"/>
          <wp:effectExtent l="0" t="0" r="0" b="0"/>
          <wp:wrapNone/>
          <wp:docPr id="1073741826" name="officeArt object" descr="logo_CONFET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_CONFETRA" descr="logo_CONFETRA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16886" cy="748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14:paraId="7F4CC91E" w14:textId="77777777" w:rsidR="00912FDC" w:rsidRDefault="00912FDC" w:rsidP="00D55698">
    <w:pPr>
      <w:pStyle w:val="Intestazione"/>
      <w:tabs>
        <w:tab w:val="clear" w:pos="9638"/>
        <w:tab w:val="right" w:pos="9158"/>
      </w:tabs>
      <w:spacing w:line="180" w:lineRule="exact"/>
      <w:ind w:firstLine="6662"/>
      <w:rPr>
        <w:rStyle w:val="Nessuno"/>
        <w:rFonts w:ascii="Lucida Handwriting" w:eastAsia="Lucida Handwriting" w:hAnsi="Lucida Handwriting" w:cs="Lucida Handwriting"/>
        <w:b/>
        <w:bCs/>
        <w:color w:val="A6A6A6"/>
        <w:sz w:val="20"/>
        <w:szCs w:val="20"/>
        <w:u w:color="A6A6A6"/>
      </w:rPr>
    </w:pPr>
  </w:p>
  <w:p w14:paraId="3FCC7557" w14:textId="77777777" w:rsidR="00912FDC" w:rsidRDefault="007802B0" w:rsidP="00D55698">
    <w:pPr>
      <w:pStyle w:val="Intestazione"/>
      <w:tabs>
        <w:tab w:val="clear" w:pos="9638"/>
        <w:tab w:val="right" w:pos="9158"/>
      </w:tabs>
      <w:ind w:firstLine="6379"/>
      <w:rPr>
        <w:rStyle w:val="Nessuno"/>
        <w:rFonts w:ascii="Lucida Handwriting" w:eastAsia="Lucida Handwriting" w:hAnsi="Lucida Handwriting" w:cs="Lucida Handwriting"/>
        <w:b/>
        <w:bCs/>
        <w:color w:val="A6A6A6"/>
        <w:sz w:val="48"/>
        <w:szCs w:val="48"/>
        <w:u w:color="A6A6A6"/>
      </w:rPr>
    </w:pPr>
    <w:r>
      <w:rPr>
        <w:rStyle w:val="Nessuno"/>
        <w:rFonts w:ascii="Lucida Handwriting" w:eastAsia="Lucida Handwriting" w:hAnsi="Lucida Handwriting" w:cs="Lucida Handwriting"/>
        <w:b/>
        <w:bCs/>
        <w:color w:val="A6A6A6"/>
        <w:sz w:val="48"/>
        <w:szCs w:val="48"/>
        <w:u w:color="A6A6A6"/>
      </w:rPr>
      <w:t>Liguria</w:t>
    </w:r>
  </w:p>
  <w:p w14:paraId="21BE64BF" w14:textId="77777777" w:rsidR="00912FDC" w:rsidRDefault="00912FDC" w:rsidP="00D55698">
    <w:pPr>
      <w:pStyle w:val="Intestazione"/>
      <w:tabs>
        <w:tab w:val="clear" w:pos="9638"/>
        <w:tab w:val="right" w:pos="9158"/>
      </w:tabs>
      <w:rPr>
        <w:rStyle w:val="Nessuno"/>
        <w:rFonts w:ascii="Arial" w:eastAsia="Arial" w:hAnsi="Arial" w:cs="Arial"/>
        <w:color w:val="25358E"/>
        <w:sz w:val="22"/>
        <w:szCs w:val="22"/>
        <w:u w:color="25358E"/>
      </w:rPr>
    </w:pPr>
  </w:p>
  <w:p w14:paraId="202BBA92" w14:textId="77777777" w:rsidR="00912FDC" w:rsidRDefault="00912FDC" w:rsidP="00D55698">
    <w:pPr>
      <w:pStyle w:val="Intestazione"/>
      <w:tabs>
        <w:tab w:val="clear" w:pos="9638"/>
        <w:tab w:val="right" w:pos="9158"/>
      </w:tabs>
      <w:rPr>
        <w:rStyle w:val="Nessuno"/>
        <w:rFonts w:ascii="Arial" w:eastAsia="Arial" w:hAnsi="Arial" w:cs="Arial"/>
        <w:color w:val="25358E"/>
        <w:sz w:val="22"/>
        <w:szCs w:val="22"/>
        <w:u w:color="25358E"/>
      </w:rPr>
    </w:pPr>
  </w:p>
  <w:p w14:paraId="48A13BF2" w14:textId="77777777" w:rsidR="00912FDC" w:rsidRDefault="00912FDC" w:rsidP="00D55698">
    <w:pPr>
      <w:pStyle w:val="Intestazione"/>
      <w:tabs>
        <w:tab w:val="clear" w:pos="9638"/>
        <w:tab w:val="right" w:pos="9158"/>
      </w:tabs>
      <w:rPr>
        <w:rStyle w:val="Nessuno"/>
        <w:rFonts w:ascii="Lucida Handwriting" w:eastAsia="Lucida Handwriting" w:hAnsi="Lucida Handwriting" w:cs="Lucida Handwriting"/>
        <w:color w:val="25358E"/>
        <w:sz w:val="22"/>
        <w:szCs w:val="22"/>
        <w:u w:color="25358E"/>
      </w:rPr>
    </w:pPr>
  </w:p>
  <w:p w14:paraId="6C8582A3" w14:textId="77777777" w:rsidR="00912FDC" w:rsidRDefault="00912FDC" w:rsidP="00D55698">
    <w:pPr>
      <w:pStyle w:val="Intestazione"/>
      <w:tabs>
        <w:tab w:val="clear" w:pos="9638"/>
        <w:tab w:val="right" w:pos="915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87FBB" w14:textId="77777777" w:rsidR="00D55698" w:rsidRDefault="00D55698" w:rsidP="00D5569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DC"/>
    <w:rsid w:val="00051A22"/>
    <w:rsid w:val="000745EA"/>
    <w:rsid w:val="000B5C15"/>
    <w:rsid w:val="000D0F9B"/>
    <w:rsid w:val="00132099"/>
    <w:rsid w:val="001443AA"/>
    <w:rsid w:val="0018323A"/>
    <w:rsid w:val="001E63A7"/>
    <w:rsid w:val="0022079A"/>
    <w:rsid w:val="00244C6A"/>
    <w:rsid w:val="002731C7"/>
    <w:rsid w:val="0029085C"/>
    <w:rsid w:val="00291207"/>
    <w:rsid w:val="002968B7"/>
    <w:rsid w:val="002B1627"/>
    <w:rsid w:val="002B6308"/>
    <w:rsid w:val="002D3A4C"/>
    <w:rsid w:val="002D4C66"/>
    <w:rsid w:val="002E2E1D"/>
    <w:rsid w:val="002E7DFE"/>
    <w:rsid w:val="002F1218"/>
    <w:rsid w:val="00361EC8"/>
    <w:rsid w:val="00367721"/>
    <w:rsid w:val="0037182A"/>
    <w:rsid w:val="00373390"/>
    <w:rsid w:val="00393527"/>
    <w:rsid w:val="003943A8"/>
    <w:rsid w:val="003E5FE8"/>
    <w:rsid w:val="003E75EA"/>
    <w:rsid w:val="00483C37"/>
    <w:rsid w:val="0048661C"/>
    <w:rsid w:val="00492BC4"/>
    <w:rsid w:val="00497A43"/>
    <w:rsid w:val="004B6094"/>
    <w:rsid w:val="004C2455"/>
    <w:rsid w:val="004D51BE"/>
    <w:rsid w:val="005333B4"/>
    <w:rsid w:val="005462CB"/>
    <w:rsid w:val="0056382F"/>
    <w:rsid w:val="005731ED"/>
    <w:rsid w:val="00584BD8"/>
    <w:rsid w:val="0059292A"/>
    <w:rsid w:val="00593C54"/>
    <w:rsid w:val="005C4B8B"/>
    <w:rsid w:val="005D4D64"/>
    <w:rsid w:val="00647461"/>
    <w:rsid w:val="006620E3"/>
    <w:rsid w:val="00687DD9"/>
    <w:rsid w:val="006A42C8"/>
    <w:rsid w:val="006D00F0"/>
    <w:rsid w:val="006F7BB9"/>
    <w:rsid w:val="00710055"/>
    <w:rsid w:val="00724A5B"/>
    <w:rsid w:val="00735DCD"/>
    <w:rsid w:val="00742485"/>
    <w:rsid w:val="007452B9"/>
    <w:rsid w:val="007802B0"/>
    <w:rsid w:val="007B57F8"/>
    <w:rsid w:val="007C5CE2"/>
    <w:rsid w:val="007D16F9"/>
    <w:rsid w:val="00800504"/>
    <w:rsid w:val="00815469"/>
    <w:rsid w:val="00840911"/>
    <w:rsid w:val="00856D89"/>
    <w:rsid w:val="008605E5"/>
    <w:rsid w:val="0087033A"/>
    <w:rsid w:val="00890B1F"/>
    <w:rsid w:val="00895968"/>
    <w:rsid w:val="008B6912"/>
    <w:rsid w:val="008D53AB"/>
    <w:rsid w:val="00900F9D"/>
    <w:rsid w:val="00912FDC"/>
    <w:rsid w:val="009704E9"/>
    <w:rsid w:val="00987FE8"/>
    <w:rsid w:val="009D5A54"/>
    <w:rsid w:val="009E3B94"/>
    <w:rsid w:val="009E7D18"/>
    <w:rsid w:val="00A03E35"/>
    <w:rsid w:val="00A2536D"/>
    <w:rsid w:val="00A8129D"/>
    <w:rsid w:val="00A86C50"/>
    <w:rsid w:val="00A87CB8"/>
    <w:rsid w:val="00AE5619"/>
    <w:rsid w:val="00AF6213"/>
    <w:rsid w:val="00AF6CAC"/>
    <w:rsid w:val="00B257B7"/>
    <w:rsid w:val="00B30779"/>
    <w:rsid w:val="00B64B7C"/>
    <w:rsid w:val="00B765C7"/>
    <w:rsid w:val="00BB6421"/>
    <w:rsid w:val="00BC4D84"/>
    <w:rsid w:val="00BD631A"/>
    <w:rsid w:val="00BE7005"/>
    <w:rsid w:val="00BF1A44"/>
    <w:rsid w:val="00C0148F"/>
    <w:rsid w:val="00C16269"/>
    <w:rsid w:val="00C17065"/>
    <w:rsid w:val="00C5326E"/>
    <w:rsid w:val="00C931D0"/>
    <w:rsid w:val="00CA3622"/>
    <w:rsid w:val="00CD7E57"/>
    <w:rsid w:val="00CE2FF0"/>
    <w:rsid w:val="00D06FA0"/>
    <w:rsid w:val="00D077C9"/>
    <w:rsid w:val="00D20591"/>
    <w:rsid w:val="00D22490"/>
    <w:rsid w:val="00D55698"/>
    <w:rsid w:val="00D57D42"/>
    <w:rsid w:val="00D81BA2"/>
    <w:rsid w:val="00D97A8E"/>
    <w:rsid w:val="00DC04D6"/>
    <w:rsid w:val="00DC28DD"/>
    <w:rsid w:val="00DE719A"/>
    <w:rsid w:val="00E109B7"/>
    <w:rsid w:val="00E269E5"/>
    <w:rsid w:val="00E47437"/>
    <w:rsid w:val="00E55C82"/>
    <w:rsid w:val="00E721A3"/>
    <w:rsid w:val="00E815D5"/>
    <w:rsid w:val="00E81FB0"/>
    <w:rsid w:val="00EA2F84"/>
    <w:rsid w:val="00EB38AD"/>
    <w:rsid w:val="00EB7E3D"/>
    <w:rsid w:val="00ED553A"/>
    <w:rsid w:val="00ED7645"/>
    <w:rsid w:val="00EE14C2"/>
    <w:rsid w:val="00EF00C3"/>
    <w:rsid w:val="00F0285F"/>
    <w:rsid w:val="00F23F7D"/>
    <w:rsid w:val="00F24F1C"/>
    <w:rsid w:val="00F4098E"/>
    <w:rsid w:val="00FA1DA7"/>
    <w:rsid w:val="00FA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2E1ACD"/>
  <w15:docId w15:val="{0E41C8DF-EBFD-4152-87F6-0EB9B607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CH" w:eastAsia="it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eastAsia="Times New Roman"/>
      <w:color w:val="000000"/>
      <w:sz w:val="24"/>
      <w:szCs w:val="24"/>
      <w:u w:color="000000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paragraph" w:styleId="Pidipagina">
    <w:name w:val="footer"/>
    <w:basedOn w:val="Normale"/>
    <w:link w:val="PidipaginaCarattere"/>
    <w:uiPriority w:val="99"/>
    <w:unhideWhenUsed/>
    <w:rsid w:val="00D556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5698"/>
    <w:rPr>
      <w:rFonts w:eastAsia="Times New Roman"/>
      <w:color w:val="000000"/>
      <w:sz w:val="24"/>
      <w:szCs w:val="24"/>
      <w:u w:color="00000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Bruno</cp:lastModifiedBy>
  <cp:revision>4</cp:revision>
  <cp:lastPrinted>2020-09-25T10:41:00Z</cp:lastPrinted>
  <dcterms:created xsi:type="dcterms:W3CDTF">2020-11-05T11:31:00Z</dcterms:created>
  <dcterms:modified xsi:type="dcterms:W3CDTF">2020-11-05T11:33:00Z</dcterms:modified>
</cp:coreProperties>
</file>