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FD664" w14:textId="77777777" w:rsidR="00F60C28" w:rsidRDefault="00F60C28" w:rsidP="00F60C28">
      <w:pPr>
        <w:shd w:val="clear" w:color="auto" w:fill="FFFFFF"/>
        <w:spacing w:line="235" w:lineRule="atLeast"/>
        <w:jc w:val="center"/>
        <w:rPr>
          <w:rFonts w:ascii="Arial" w:hAnsi="Arial" w:cs="Arial"/>
          <w:b/>
          <w:color w:val="222222"/>
          <w:lang w:eastAsia="it-CH"/>
        </w:rPr>
      </w:pPr>
    </w:p>
    <w:p w14:paraId="04FC46D5" w14:textId="77777777" w:rsidR="00F60C28" w:rsidRPr="00F60C28" w:rsidRDefault="00F60C28" w:rsidP="00F60C28">
      <w:pPr>
        <w:shd w:val="clear" w:color="auto" w:fill="FFFFFF"/>
        <w:spacing w:line="235" w:lineRule="atLeast"/>
        <w:jc w:val="center"/>
        <w:rPr>
          <w:rFonts w:ascii="Arial" w:hAnsi="Arial" w:cs="Arial"/>
          <w:b/>
          <w:color w:val="222222"/>
          <w:lang w:eastAsia="it-CH"/>
        </w:rPr>
      </w:pPr>
      <w:r w:rsidRPr="00F60C28">
        <w:rPr>
          <w:rFonts w:ascii="Arial" w:hAnsi="Arial" w:cs="Arial"/>
          <w:b/>
          <w:color w:val="222222"/>
          <w:lang w:eastAsia="it-CH"/>
        </w:rPr>
        <w:t>COMUNICATO STAMPA</w:t>
      </w:r>
    </w:p>
    <w:p w14:paraId="5D361EB0" w14:textId="77777777" w:rsidR="00F60C28" w:rsidRPr="00F60C28" w:rsidRDefault="00F60C28" w:rsidP="00F60C28">
      <w:pPr>
        <w:shd w:val="clear" w:color="auto" w:fill="FFFFFF"/>
        <w:spacing w:line="235" w:lineRule="atLeast"/>
        <w:rPr>
          <w:rFonts w:ascii="Arial" w:hAnsi="Arial" w:cs="Arial"/>
          <w:color w:val="222222"/>
          <w:lang w:eastAsia="it-CH"/>
        </w:rPr>
      </w:pPr>
      <w:r w:rsidRPr="00F60C28">
        <w:rPr>
          <w:rFonts w:ascii="Arial" w:hAnsi="Arial" w:cs="Arial"/>
          <w:color w:val="222222"/>
          <w:lang w:eastAsia="it-CH"/>
        </w:rPr>
        <w:t> </w:t>
      </w:r>
    </w:p>
    <w:p w14:paraId="00442075" w14:textId="77777777" w:rsidR="00F60C28" w:rsidRPr="00F60C28" w:rsidRDefault="00F60C28" w:rsidP="00F60C28">
      <w:pPr>
        <w:shd w:val="clear" w:color="auto" w:fill="FFFFFF"/>
        <w:spacing w:line="235" w:lineRule="atLeast"/>
        <w:rPr>
          <w:rFonts w:ascii="Arial" w:hAnsi="Arial" w:cs="Arial"/>
          <w:color w:val="222222"/>
          <w:lang w:eastAsia="it-CH"/>
        </w:rPr>
      </w:pPr>
      <w:r w:rsidRPr="00F60C28">
        <w:rPr>
          <w:rFonts w:ascii="Arial" w:hAnsi="Arial" w:cs="Arial"/>
          <w:color w:val="222222"/>
          <w:lang w:eastAsia="it-CH"/>
        </w:rPr>
        <w:t> </w:t>
      </w:r>
    </w:p>
    <w:p w14:paraId="509DC5CD" w14:textId="77777777" w:rsidR="00F60C28" w:rsidRPr="00F60C28" w:rsidRDefault="00F60C28" w:rsidP="00F60C28">
      <w:pPr>
        <w:shd w:val="clear" w:color="auto" w:fill="FFFFFF"/>
        <w:spacing w:line="235" w:lineRule="atLeast"/>
        <w:rPr>
          <w:rFonts w:ascii="Arial" w:hAnsi="Arial" w:cs="Arial"/>
          <w:color w:val="222222"/>
          <w:lang w:eastAsia="it-CH"/>
        </w:rPr>
      </w:pPr>
    </w:p>
    <w:p w14:paraId="4FBA2423" w14:textId="77777777" w:rsidR="00F60C28" w:rsidRPr="00F60C28" w:rsidRDefault="00F60C28" w:rsidP="00F60C28">
      <w:pPr>
        <w:shd w:val="clear" w:color="auto" w:fill="FFFFFF"/>
        <w:spacing w:line="235" w:lineRule="atLeast"/>
        <w:jc w:val="center"/>
        <w:rPr>
          <w:rFonts w:ascii="Arial" w:hAnsi="Arial" w:cs="Arial"/>
          <w:color w:val="222222"/>
          <w:sz w:val="40"/>
          <w:szCs w:val="40"/>
          <w:lang w:eastAsia="it-CH"/>
        </w:rPr>
      </w:pPr>
      <w:r w:rsidRPr="00F60C28">
        <w:rPr>
          <w:rFonts w:ascii="Arial" w:hAnsi="Arial" w:cs="Arial"/>
          <w:color w:val="222222"/>
          <w:sz w:val="40"/>
          <w:szCs w:val="40"/>
          <w:lang w:eastAsia="it-CH"/>
        </w:rPr>
        <w:t>Trieste rivendica la sua autonomia</w:t>
      </w:r>
    </w:p>
    <w:p w14:paraId="330932B3" w14:textId="77777777" w:rsidR="00F60C28" w:rsidRDefault="00F60C28" w:rsidP="00F60C28">
      <w:pPr>
        <w:shd w:val="clear" w:color="auto" w:fill="FFFFFF"/>
        <w:spacing w:line="235" w:lineRule="atLeast"/>
        <w:jc w:val="center"/>
        <w:rPr>
          <w:rFonts w:ascii="Arial" w:hAnsi="Arial" w:cs="Arial"/>
          <w:color w:val="222222"/>
          <w:sz w:val="40"/>
          <w:szCs w:val="40"/>
          <w:lang w:eastAsia="it-CH"/>
        </w:rPr>
      </w:pPr>
      <w:r w:rsidRPr="00F60C28">
        <w:rPr>
          <w:rFonts w:ascii="Arial" w:hAnsi="Arial" w:cs="Arial"/>
          <w:color w:val="222222"/>
          <w:sz w:val="40"/>
          <w:szCs w:val="40"/>
          <w:lang w:eastAsia="it-CH"/>
        </w:rPr>
        <w:t>per diventare la porta sud d’Europa</w:t>
      </w:r>
    </w:p>
    <w:p w14:paraId="57B5A06C" w14:textId="77777777" w:rsidR="00F60C28" w:rsidRPr="00F60C28" w:rsidRDefault="00F60C28" w:rsidP="00F60C28">
      <w:pPr>
        <w:shd w:val="clear" w:color="auto" w:fill="FFFFFF"/>
        <w:spacing w:line="235" w:lineRule="atLeast"/>
        <w:jc w:val="center"/>
        <w:rPr>
          <w:rFonts w:ascii="Arial" w:hAnsi="Arial" w:cs="Arial"/>
          <w:color w:val="222222"/>
          <w:sz w:val="40"/>
          <w:szCs w:val="40"/>
          <w:lang w:eastAsia="it-CH"/>
        </w:rPr>
      </w:pPr>
    </w:p>
    <w:p w14:paraId="02EACAA8" w14:textId="77777777" w:rsidR="00F60C28" w:rsidRPr="00F60C28" w:rsidRDefault="00F60C28" w:rsidP="00F60C28">
      <w:pPr>
        <w:shd w:val="clear" w:color="auto" w:fill="FFFFFF"/>
        <w:spacing w:line="235" w:lineRule="atLeast"/>
        <w:rPr>
          <w:rFonts w:ascii="Arial" w:hAnsi="Arial" w:cs="Arial"/>
          <w:color w:val="222222"/>
          <w:u w:val="single"/>
          <w:lang w:eastAsia="it-CH"/>
        </w:rPr>
      </w:pPr>
      <w:r w:rsidRPr="00F60C28">
        <w:rPr>
          <w:rFonts w:ascii="Arial" w:hAnsi="Arial" w:cs="Arial"/>
          <w:color w:val="222222"/>
          <w:lang w:eastAsia="it-CH"/>
        </w:rPr>
        <w:t> </w:t>
      </w:r>
    </w:p>
    <w:p w14:paraId="046D4968" w14:textId="3B9F87FE" w:rsidR="00F60C28" w:rsidRPr="00F60C28" w:rsidRDefault="00F60C28" w:rsidP="00F60C28">
      <w:pPr>
        <w:shd w:val="clear" w:color="auto" w:fill="FFFFFF"/>
        <w:spacing w:line="235" w:lineRule="atLeast"/>
        <w:jc w:val="center"/>
        <w:rPr>
          <w:rFonts w:ascii="Arial" w:hAnsi="Arial" w:cs="Arial"/>
          <w:sz w:val="28"/>
          <w:lang w:eastAsia="it-CH"/>
        </w:rPr>
      </w:pPr>
      <w:r w:rsidRPr="00F60C28">
        <w:rPr>
          <w:rFonts w:ascii="Arial" w:hAnsi="Arial" w:cs="Arial"/>
          <w:sz w:val="28"/>
          <w:lang w:eastAsia="it-CH"/>
        </w:rPr>
        <w:t>Torna al centro del dibattito l’adesione alla Belt &amp; Road Initiative della Cina Indispensabile uno sforzo congiunto per il Porto Franco Internazionale Terminal TMT punta di diamante anche per i traffici sull’asse fra paesi del Centro e dell’Est Europeo e il mercato del Medio Oriente</w:t>
      </w:r>
    </w:p>
    <w:p w14:paraId="6FA5BB00" w14:textId="77777777" w:rsidR="00F60C28" w:rsidRPr="00F60C28" w:rsidRDefault="00F60C28" w:rsidP="00F60C28">
      <w:pPr>
        <w:shd w:val="clear" w:color="auto" w:fill="FFFFFF"/>
        <w:spacing w:line="235" w:lineRule="atLeast"/>
        <w:rPr>
          <w:rFonts w:ascii="Arial" w:hAnsi="Arial" w:cs="Arial"/>
          <w:sz w:val="28"/>
          <w:lang w:eastAsia="it-CH"/>
        </w:rPr>
      </w:pPr>
      <w:r w:rsidRPr="00F60C28">
        <w:rPr>
          <w:rFonts w:ascii="Arial" w:hAnsi="Arial" w:cs="Arial"/>
          <w:sz w:val="28"/>
          <w:lang w:eastAsia="it-CH"/>
        </w:rPr>
        <w:t> </w:t>
      </w:r>
    </w:p>
    <w:p w14:paraId="4403E3E1" w14:textId="77777777" w:rsidR="00F60C28" w:rsidRPr="00F60C28" w:rsidRDefault="00F60C28" w:rsidP="008E29CC">
      <w:pPr>
        <w:shd w:val="clear" w:color="auto" w:fill="FFFFFF"/>
        <w:spacing w:line="235" w:lineRule="atLeast"/>
        <w:jc w:val="both"/>
        <w:rPr>
          <w:rFonts w:ascii="Arial" w:hAnsi="Arial" w:cs="Arial"/>
          <w:lang w:eastAsia="it-CH"/>
        </w:rPr>
      </w:pPr>
      <w:r w:rsidRPr="00F60C28">
        <w:rPr>
          <w:rFonts w:ascii="Arial" w:hAnsi="Arial" w:cs="Arial"/>
          <w:lang w:eastAsia="it-CH"/>
        </w:rPr>
        <w:t>L’evoluzione anche geo-politica dello scenario internazionale, accelerata anche dall’emergenza virus, sta rilanciando prepotentemente il ruolo di Trieste come grande hub internazionale per le merci e sta tornando a sollevare forti interrogativi sulla firma che il governo italiano, unico fra tutti i governi europei, ha apposto sul programma della Belt &amp; Road Initiative, parte integrante del programma strategico della Repubblica popolare cinese.</w:t>
      </w:r>
    </w:p>
    <w:p w14:paraId="644A073A" w14:textId="1D11B7A7" w:rsidR="00F60C28" w:rsidRPr="00F60C28" w:rsidRDefault="00F60C28" w:rsidP="008E29CC">
      <w:pPr>
        <w:shd w:val="clear" w:color="auto" w:fill="FFFFFF"/>
        <w:spacing w:line="235" w:lineRule="atLeast"/>
        <w:jc w:val="both"/>
        <w:rPr>
          <w:rFonts w:ascii="Arial" w:hAnsi="Arial" w:cs="Arial"/>
          <w:lang w:eastAsia="it-CH"/>
        </w:rPr>
      </w:pPr>
      <w:r w:rsidRPr="00F60C28">
        <w:rPr>
          <w:rFonts w:ascii="Arial" w:hAnsi="Arial" w:cs="Arial"/>
          <w:lang w:eastAsia="it-CH"/>
        </w:rPr>
        <w:t>Un dibattito televisivo a Trieste (porto sul quale si è focalizzato l’interesse di Pechino e scalo considerato la porta preferenziale di accesso ai mercati dell’est europeo accreditati di maggiori potenzialità di crescita economica e produttiva) ha acceso i riflettori su queste tematiche, facendo emergere dal confronto fra esperti di geopolitica, traffici marittimi, operatori portuali e intermodali e Autorità di sistema, alcune indicazioni importanti di prospettiva.</w:t>
      </w:r>
    </w:p>
    <w:p w14:paraId="070429C5" w14:textId="77777777" w:rsidR="00F60C28" w:rsidRPr="00F60C28" w:rsidRDefault="00F60C28" w:rsidP="008E29CC">
      <w:pPr>
        <w:shd w:val="clear" w:color="auto" w:fill="FFFFFF"/>
        <w:spacing w:line="235" w:lineRule="atLeast"/>
        <w:jc w:val="both"/>
        <w:rPr>
          <w:rFonts w:ascii="Arial" w:hAnsi="Arial" w:cs="Arial"/>
          <w:lang w:eastAsia="it-CH"/>
        </w:rPr>
      </w:pPr>
      <w:bookmarkStart w:id="0" w:name="_Hlk39177184"/>
      <w:r w:rsidRPr="00F60C28">
        <w:rPr>
          <w:rFonts w:ascii="Arial" w:hAnsi="Arial" w:cs="Arial"/>
          <w:lang w:eastAsia="it-CH"/>
        </w:rPr>
        <w:t xml:space="preserve">Il fatto che Trieste rappresenti un unicum nazionale anche dal punto di vista dei traffici è emerso con decisione evidenziando, nel confronto con gli altri porti nazionali, la forte preminenza di traffico internazionale. I competitors per Trieste – è stato evidenziato – non sono quindi i porti nazionali, ma i grandi scali del Nord Europa e i vicini porti esteri di Koper e di Rijeka. </w:t>
      </w:r>
    </w:p>
    <w:p w14:paraId="45C31B0C" w14:textId="77777777" w:rsidR="00F60C28" w:rsidRPr="00F60C28" w:rsidRDefault="00F60C28" w:rsidP="008E29CC">
      <w:pPr>
        <w:shd w:val="clear" w:color="auto" w:fill="FFFFFF"/>
        <w:spacing w:line="235" w:lineRule="atLeast"/>
        <w:jc w:val="both"/>
        <w:rPr>
          <w:rFonts w:ascii="Arial" w:hAnsi="Arial" w:cs="Arial"/>
          <w:lang w:eastAsia="it-CH"/>
        </w:rPr>
      </w:pPr>
      <w:r w:rsidRPr="00F60C28">
        <w:rPr>
          <w:rFonts w:ascii="Arial" w:hAnsi="Arial" w:cs="Arial"/>
          <w:lang w:eastAsia="it-CH"/>
        </w:rPr>
        <w:t>Ma a fronte di questo ruolo, l’atteggiamento dello Stato nei confronti del porto di Trieste resta quello di cronica sottovalutazione: ed è paradossale visto che lo Stato da anni, grazie al porto, incassa tasse, diritti portuali, Iva sulle merci, ovvero un flusso e un beneficio per l’erario che mai potrebbe spostarsi su altri scali nazionali ma andrebbe a totale beneficio di porti e Stati esteri.</w:t>
      </w:r>
    </w:p>
    <w:bookmarkEnd w:id="0"/>
    <w:p w14:paraId="68F162D7" w14:textId="01DB29C0" w:rsidR="00F60C28" w:rsidRPr="00F60C28" w:rsidRDefault="00F60C28" w:rsidP="008E29CC">
      <w:pPr>
        <w:jc w:val="both"/>
        <w:rPr>
          <w:rFonts w:ascii="Arial" w:hAnsi="Arial" w:cs="Arial"/>
          <w:lang w:eastAsia="it-CH"/>
        </w:rPr>
      </w:pPr>
      <w:r w:rsidRPr="00F60C28">
        <w:rPr>
          <w:rFonts w:ascii="Arial" w:hAnsi="Arial" w:cs="Arial"/>
          <w:lang w:eastAsia="it-CH"/>
        </w:rPr>
        <w:t xml:space="preserve">Il dibattito, al quale hanno partecipato fra gli altri l’economista Giulio Sapelli, Zeno D’Agostino (Presidente dell’Autorità di sistema portuale), </w:t>
      </w:r>
      <w:r w:rsidRPr="00F60C28">
        <w:rPr>
          <w:rFonts w:ascii="Arial" w:hAnsi="Arial" w:cs="Arial"/>
        </w:rPr>
        <w:t xml:space="preserve">Davide Burani (Direttore public affairs dell’American Chamber of Commerce in Italia), Cesare Moscati (Direttore della Camera di Commercio Italia-Israele) oltre a Fabrizio Zerbini (chairman del Trieste Marine Terminal), Enrico Samer (Presidente dell’omonimo Gruppo) e Angelo Aulicino (Direttore generale di Alpe Adria), si è </w:t>
      </w:r>
      <w:r w:rsidRPr="00F60C28">
        <w:rPr>
          <w:rFonts w:ascii="Arial" w:hAnsi="Arial" w:cs="Arial"/>
          <w:lang w:eastAsia="it-CH"/>
        </w:rPr>
        <w:t>focalizzato quindi sul ruolo di totale autonomia che Trieste dovrà tutelare, rifiutando la prospettiva (forse anche allettante in tema di investimenti) di svolgere un ruolo analogo a quello del Pireo, porto greco ormai colonia della Cina.</w:t>
      </w:r>
    </w:p>
    <w:p w14:paraId="0F69B6E3" w14:textId="69E6BD7C" w:rsidR="00F60C28" w:rsidRPr="00F60C28" w:rsidRDefault="00F60C28" w:rsidP="008E29CC">
      <w:pPr>
        <w:shd w:val="clear" w:color="auto" w:fill="FFFFFF"/>
        <w:spacing w:line="235" w:lineRule="atLeast"/>
        <w:jc w:val="both"/>
        <w:rPr>
          <w:rFonts w:ascii="Arial" w:hAnsi="Arial" w:cs="Arial"/>
          <w:lang w:eastAsia="it-CH"/>
        </w:rPr>
      </w:pPr>
      <w:r w:rsidRPr="00F60C28">
        <w:rPr>
          <w:rFonts w:ascii="Arial" w:hAnsi="Arial" w:cs="Arial"/>
          <w:lang w:eastAsia="it-CH"/>
        </w:rPr>
        <w:t xml:space="preserve">La discussione ha quindi affrontato il tema dell’apertura commerciale a qualsiasi operatore che sia in grado di sfruttare anche la grande prospettiva di collegamento fra le economie </w:t>
      </w:r>
      <w:r w:rsidRPr="00F60C28">
        <w:rPr>
          <w:rFonts w:ascii="Arial" w:hAnsi="Arial" w:cs="Arial"/>
          <w:lang w:eastAsia="it-CH"/>
        </w:rPr>
        <w:lastRenderedPageBreak/>
        <w:t>dell’</w:t>
      </w:r>
      <w:r>
        <w:rPr>
          <w:rFonts w:ascii="Arial" w:hAnsi="Arial" w:cs="Arial"/>
          <w:lang w:eastAsia="it-CH"/>
        </w:rPr>
        <w:t>E</w:t>
      </w:r>
      <w:r w:rsidRPr="00F60C28">
        <w:rPr>
          <w:rFonts w:ascii="Arial" w:hAnsi="Arial" w:cs="Arial"/>
          <w:lang w:eastAsia="it-CH"/>
        </w:rPr>
        <w:t xml:space="preserve">st </w:t>
      </w:r>
      <w:r>
        <w:rPr>
          <w:rFonts w:ascii="Arial" w:hAnsi="Arial" w:cs="Arial"/>
          <w:lang w:eastAsia="it-CH"/>
        </w:rPr>
        <w:t>E</w:t>
      </w:r>
      <w:r w:rsidRPr="00F60C28">
        <w:rPr>
          <w:rFonts w:ascii="Arial" w:hAnsi="Arial" w:cs="Arial"/>
          <w:lang w:eastAsia="it-CH"/>
        </w:rPr>
        <w:t xml:space="preserve">uropeo e un Medio </w:t>
      </w:r>
      <w:r>
        <w:rPr>
          <w:rFonts w:ascii="Arial" w:hAnsi="Arial" w:cs="Arial"/>
          <w:lang w:eastAsia="it-CH"/>
        </w:rPr>
        <w:t>O</w:t>
      </w:r>
      <w:r w:rsidRPr="00F60C28">
        <w:rPr>
          <w:rFonts w:ascii="Arial" w:hAnsi="Arial" w:cs="Arial"/>
          <w:lang w:eastAsia="it-CH"/>
        </w:rPr>
        <w:t>riente che nei prossimi mesi dovrà affrontare l’emergenza connessa con la ricostruzione di interi Paesi distrutti dagli eventi bellici. Si è parlato in particolare di un netto rafforzamento dei traffici con Israele ed Egitto, anche ma non solo per l’agroalimentare.</w:t>
      </w:r>
    </w:p>
    <w:p w14:paraId="6599E1B4" w14:textId="6FB787BB" w:rsidR="00F60C28" w:rsidRPr="00F60C28" w:rsidRDefault="00F60C28" w:rsidP="008E29CC">
      <w:pPr>
        <w:shd w:val="clear" w:color="auto" w:fill="FFFFFF"/>
        <w:spacing w:line="235" w:lineRule="atLeast"/>
        <w:jc w:val="both"/>
        <w:rPr>
          <w:rFonts w:ascii="Arial" w:hAnsi="Arial" w:cs="Arial"/>
          <w:lang w:eastAsia="it-CH"/>
        </w:rPr>
      </w:pPr>
      <w:r w:rsidRPr="00F60C28">
        <w:rPr>
          <w:rFonts w:ascii="Arial" w:hAnsi="Arial" w:cs="Arial"/>
          <w:lang w:eastAsia="it-CH"/>
        </w:rPr>
        <w:t>Un ruolo strategico centrale – come emerso dal dibattito – sarà quello di TMT Trieste Marine Terminal, che è oggi il principale hub container dell’alto Adriatico e che ha davanti a sé una importante prospettiva di ampliamento della sua capacità</w:t>
      </w:r>
      <w:r w:rsidR="008E29CC">
        <w:rPr>
          <w:rFonts w:ascii="Arial" w:hAnsi="Arial" w:cs="Arial"/>
          <w:lang w:eastAsia="it-CH"/>
        </w:rPr>
        <w:t>,</w:t>
      </w:r>
      <w:r w:rsidRPr="00F60C28">
        <w:rPr>
          <w:rFonts w:ascii="Arial" w:hAnsi="Arial" w:cs="Arial"/>
          <w:lang w:eastAsia="it-CH"/>
        </w:rPr>
        <w:t xml:space="preserve"> diventando l’anello principale di un asse di penetrazione supportato dai diversi operatori ferroviari, nazionali, europei già operanti nel Porto di Trieste e da Alpe Adria, da e per i Paesi dell’Europa </w:t>
      </w:r>
      <w:r w:rsidR="008E29CC">
        <w:rPr>
          <w:rFonts w:ascii="Arial" w:hAnsi="Arial" w:cs="Arial"/>
          <w:lang w:eastAsia="it-CH"/>
        </w:rPr>
        <w:t>O</w:t>
      </w:r>
      <w:r w:rsidRPr="00F60C28">
        <w:rPr>
          <w:rFonts w:ascii="Arial" w:hAnsi="Arial" w:cs="Arial"/>
          <w:lang w:eastAsia="it-CH"/>
        </w:rPr>
        <w:t>rientale e le ricche aree del Sud Germania e dell'Austria.</w:t>
      </w:r>
    </w:p>
    <w:p w14:paraId="5B749BEB" w14:textId="18DA2CAA" w:rsidR="00F60C28" w:rsidRPr="00F60C28" w:rsidRDefault="00F60C28" w:rsidP="008E29CC">
      <w:pPr>
        <w:shd w:val="clear" w:color="auto" w:fill="FFFFFF"/>
        <w:spacing w:line="235" w:lineRule="atLeast"/>
        <w:jc w:val="both"/>
        <w:rPr>
          <w:rFonts w:ascii="Arial" w:hAnsi="Arial" w:cs="Arial"/>
          <w:lang w:eastAsia="it-CH"/>
        </w:rPr>
      </w:pPr>
      <w:r w:rsidRPr="00F60C28">
        <w:rPr>
          <w:rFonts w:ascii="Arial" w:hAnsi="Arial" w:cs="Arial"/>
          <w:lang w:eastAsia="it-CH"/>
        </w:rPr>
        <w:t xml:space="preserve">Nel corso del confronto, </w:t>
      </w:r>
      <w:r w:rsidR="008E29CC">
        <w:rPr>
          <w:rFonts w:ascii="Arial" w:hAnsi="Arial" w:cs="Arial"/>
          <w:lang w:eastAsia="it-CH"/>
        </w:rPr>
        <w:t>che ha fatto perno anche su un’</w:t>
      </w:r>
      <w:r w:rsidRPr="00F60C28">
        <w:rPr>
          <w:rFonts w:ascii="Arial" w:hAnsi="Arial" w:cs="Arial"/>
          <w:lang w:eastAsia="it-CH"/>
        </w:rPr>
        <w:t>analisi degli equilibri geopolitici in Mediterraneo, incluso il ruolo degli Stati Uniti anche a Trieste, sono riemerse con forza le potenziali</w:t>
      </w:r>
      <w:r w:rsidR="009F641E">
        <w:rPr>
          <w:rFonts w:ascii="Arial" w:hAnsi="Arial" w:cs="Arial"/>
          <w:lang w:eastAsia="it-CH"/>
        </w:rPr>
        <w:t xml:space="preserve">tà dello scalo giuliano </w:t>
      </w:r>
      <w:bookmarkStart w:id="1" w:name="_GoBack"/>
      <w:bookmarkEnd w:id="1"/>
      <w:r w:rsidRPr="00F60C28">
        <w:rPr>
          <w:rFonts w:ascii="Arial" w:hAnsi="Arial" w:cs="Arial"/>
          <w:lang w:eastAsia="it-CH"/>
        </w:rPr>
        <w:t>a patto che mantenga la sua autonomia e quindi la vocazione storica di porto aperto al mondo come la storia della città ha dimostrato nei secoli con politich</w:t>
      </w:r>
      <w:r w:rsidR="008E29CC">
        <w:rPr>
          <w:rFonts w:ascii="Arial" w:hAnsi="Arial" w:cs="Arial"/>
          <w:lang w:eastAsia="it-CH"/>
        </w:rPr>
        <w:t>e di accoglienza mantenendo un’</w:t>
      </w:r>
      <w:r w:rsidRPr="00F60C28">
        <w:rPr>
          <w:rFonts w:ascii="Arial" w:hAnsi="Arial" w:cs="Arial"/>
          <w:lang w:eastAsia="it-CH"/>
        </w:rPr>
        <w:t>identità indipendente e particolare. </w:t>
      </w:r>
    </w:p>
    <w:p w14:paraId="28C2E125" w14:textId="587CAF53" w:rsidR="00F60C28" w:rsidRDefault="00F60C28" w:rsidP="008E29CC">
      <w:pPr>
        <w:shd w:val="clear" w:color="auto" w:fill="FFFFFF"/>
        <w:jc w:val="both"/>
        <w:rPr>
          <w:rFonts w:ascii="Arial" w:hAnsi="Arial" w:cs="Arial"/>
          <w:lang w:eastAsia="it-CH"/>
        </w:rPr>
      </w:pPr>
      <w:r w:rsidRPr="00F60C28">
        <w:rPr>
          <w:rFonts w:ascii="Arial" w:hAnsi="Arial" w:cs="Arial"/>
          <w:lang w:eastAsia="it-CH"/>
        </w:rPr>
        <w:t>Ovviamente dal dibattito non poteva restare fuori il tema storico e quasi cronico del porto di Trieste: il Porto franco internazionale. Proprio l’emergenza potrebbe favorire un</w:t>
      </w:r>
      <w:r w:rsidR="008E29CC">
        <w:rPr>
          <w:rFonts w:ascii="Arial" w:hAnsi="Arial" w:cs="Arial"/>
          <w:lang w:eastAsia="it-CH"/>
        </w:rPr>
        <w:t>’</w:t>
      </w:r>
      <w:r w:rsidRPr="00F60C28">
        <w:rPr>
          <w:rFonts w:ascii="Arial" w:hAnsi="Arial" w:cs="Arial"/>
          <w:lang w:eastAsia="it-CH"/>
        </w:rPr>
        <w:t>accelerazione e uno sblocco nell’utilizzo di questo strumento che potrebbe con</w:t>
      </w:r>
      <w:r w:rsidR="008E29CC">
        <w:rPr>
          <w:rFonts w:ascii="Arial" w:hAnsi="Arial" w:cs="Arial"/>
          <w:lang w:eastAsia="it-CH"/>
        </w:rPr>
        <w:t>sentire a Trieste un’</w:t>
      </w:r>
      <w:r w:rsidRPr="00F60C28">
        <w:rPr>
          <w:rFonts w:ascii="Arial" w:hAnsi="Arial" w:cs="Arial"/>
          <w:lang w:eastAsia="it-CH"/>
        </w:rPr>
        <w:t>applicazione molto estesa. Gli interrogativi riguardano ora la possibilità di sviluppo di attività manifatturiere di trasformazione delle merci movimentate dal porto con un valore aggiunto e ricadute economiche e occupazionali sul territorio. Il progetto</w:t>
      </w:r>
      <w:r w:rsidR="008E29CC">
        <w:rPr>
          <w:rFonts w:ascii="Arial" w:hAnsi="Arial" w:cs="Arial"/>
          <w:lang w:eastAsia="it-CH"/>
        </w:rPr>
        <w:t>,</w:t>
      </w:r>
      <w:r w:rsidRPr="00F60C28">
        <w:rPr>
          <w:rFonts w:ascii="Arial" w:hAnsi="Arial" w:cs="Arial"/>
          <w:lang w:eastAsia="it-CH"/>
        </w:rPr>
        <w:t xml:space="preserve"> al quale stanno lavorando congiuntamente </w:t>
      </w:r>
      <w:r w:rsidRPr="00F60C28">
        <w:rPr>
          <w:rFonts w:ascii="Arial" w:hAnsi="Arial" w:cs="Arial"/>
        </w:rPr>
        <w:t xml:space="preserve">tutte le Associazioni di categoria, gli operatori e il coinvolgimento di almeno un’ampia parte delle istituzioni e della politica locale, ha oggi un obiettivo preciso: </w:t>
      </w:r>
      <w:r w:rsidRPr="00F60C28">
        <w:rPr>
          <w:rFonts w:ascii="Arial" w:hAnsi="Arial" w:cs="Arial"/>
          <w:lang w:eastAsia="it-CH"/>
        </w:rPr>
        <w:t>l’applicazione totale dello status di</w:t>
      </w:r>
      <w:r w:rsidR="008E29CC">
        <w:rPr>
          <w:rFonts w:ascii="Arial" w:hAnsi="Arial" w:cs="Arial"/>
          <w:lang w:eastAsia="it-CH"/>
        </w:rPr>
        <w:t xml:space="preserve"> </w:t>
      </w:r>
      <w:r w:rsidRPr="00F60C28">
        <w:rPr>
          <w:rFonts w:ascii="Arial" w:hAnsi="Arial" w:cs="Arial"/>
          <w:lang w:eastAsia="it-CH"/>
        </w:rPr>
        <w:t>Porto Franco Internazionale.</w:t>
      </w:r>
    </w:p>
    <w:p w14:paraId="425EE0AA" w14:textId="77777777" w:rsidR="008E29CC" w:rsidRPr="00F60C28" w:rsidRDefault="008E29CC" w:rsidP="008E29CC">
      <w:pPr>
        <w:shd w:val="clear" w:color="auto" w:fill="FFFFFF"/>
        <w:jc w:val="both"/>
        <w:rPr>
          <w:rFonts w:ascii="Arial" w:hAnsi="Arial" w:cs="Arial"/>
          <w:lang w:eastAsia="it-CH"/>
        </w:rPr>
      </w:pPr>
    </w:p>
    <w:p w14:paraId="6ED5D934" w14:textId="77777777" w:rsidR="00F60C28" w:rsidRPr="00F60C28" w:rsidRDefault="00F60C28" w:rsidP="00F60C28">
      <w:pPr>
        <w:shd w:val="clear" w:color="auto" w:fill="FFFFFF"/>
        <w:rPr>
          <w:rFonts w:ascii="Arial" w:hAnsi="Arial" w:cs="Arial"/>
          <w:lang w:eastAsia="it-CH"/>
        </w:rPr>
      </w:pPr>
    </w:p>
    <w:p w14:paraId="1CFAA2DE" w14:textId="78E345AB" w:rsidR="00F60C28" w:rsidRPr="00F60C28" w:rsidRDefault="00F60C28" w:rsidP="00F60C28">
      <w:pPr>
        <w:shd w:val="clear" w:color="auto" w:fill="FFFFFF"/>
        <w:rPr>
          <w:rFonts w:ascii="Arial" w:hAnsi="Arial" w:cs="Arial"/>
          <w:i/>
          <w:lang w:eastAsia="it-CH"/>
        </w:rPr>
      </w:pPr>
      <w:r w:rsidRPr="00F60C28">
        <w:rPr>
          <w:rFonts w:ascii="Arial" w:hAnsi="Arial" w:cs="Arial"/>
          <w:i/>
          <w:lang w:eastAsia="it-CH"/>
        </w:rPr>
        <w:t>Trieste, 4 maggio 2020</w:t>
      </w:r>
    </w:p>
    <w:p w14:paraId="41F4B392" w14:textId="77777777" w:rsidR="00F60C28" w:rsidRDefault="00F60C28" w:rsidP="00F60C28">
      <w:pPr>
        <w:shd w:val="clear" w:color="auto" w:fill="FFFFFF"/>
        <w:rPr>
          <w:rFonts w:ascii="Arial" w:hAnsi="Arial" w:cs="Arial"/>
          <w:i/>
          <w:color w:val="222222"/>
          <w:lang w:eastAsia="it-CH"/>
        </w:rPr>
      </w:pPr>
    </w:p>
    <w:p w14:paraId="6399CB04" w14:textId="77777777" w:rsidR="00F60C28" w:rsidRDefault="00F60C28" w:rsidP="00F60C28">
      <w:pPr>
        <w:shd w:val="clear" w:color="auto" w:fill="FFFFFF"/>
        <w:rPr>
          <w:rFonts w:ascii="Arial" w:hAnsi="Arial" w:cs="Arial"/>
          <w:i/>
          <w:color w:val="222222"/>
          <w:lang w:eastAsia="it-CH"/>
        </w:rPr>
      </w:pPr>
    </w:p>
    <w:p w14:paraId="4CDDA79C" w14:textId="77777777" w:rsidR="008E29CC" w:rsidRDefault="008E29CC" w:rsidP="00F60C28">
      <w:pPr>
        <w:shd w:val="clear" w:color="auto" w:fill="FFFFFF"/>
        <w:rPr>
          <w:rFonts w:ascii="Arial" w:hAnsi="Arial" w:cs="Arial"/>
          <w:i/>
          <w:color w:val="222222"/>
          <w:lang w:eastAsia="it-CH"/>
        </w:rPr>
      </w:pPr>
    </w:p>
    <w:p w14:paraId="6E73DAF2" w14:textId="77777777" w:rsidR="008E29CC" w:rsidRDefault="008E29CC" w:rsidP="00F60C28">
      <w:pPr>
        <w:shd w:val="clear" w:color="auto" w:fill="FFFFFF"/>
        <w:rPr>
          <w:rFonts w:ascii="Arial" w:hAnsi="Arial" w:cs="Arial"/>
          <w:i/>
          <w:color w:val="222222"/>
          <w:lang w:eastAsia="it-CH"/>
        </w:rPr>
      </w:pPr>
    </w:p>
    <w:p w14:paraId="3759EC7B" w14:textId="77777777" w:rsidR="00F60C28" w:rsidRPr="00F60C28" w:rsidRDefault="00F60C28" w:rsidP="00F60C28">
      <w:pPr>
        <w:jc w:val="both"/>
        <w:rPr>
          <w:rFonts w:ascii="Arial" w:hAnsi="Arial" w:cs="Arial"/>
          <w:b/>
          <w:sz w:val="22"/>
        </w:rPr>
      </w:pPr>
      <w:r w:rsidRPr="00F60C28">
        <w:rPr>
          <w:rFonts w:ascii="Arial" w:hAnsi="Arial" w:cs="Arial"/>
          <w:b/>
          <w:sz w:val="22"/>
        </w:rPr>
        <w:t>Per ulteriori informazioni</w:t>
      </w:r>
    </w:p>
    <w:p w14:paraId="0FD20E45" w14:textId="77777777" w:rsidR="00F60C28" w:rsidRPr="00F60C28" w:rsidRDefault="00F60C28" w:rsidP="00F60C28">
      <w:pPr>
        <w:jc w:val="both"/>
        <w:rPr>
          <w:rFonts w:ascii="Arial" w:hAnsi="Arial" w:cs="Arial"/>
          <w:b/>
          <w:sz w:val="22"/>
        </w:rPr>
      </w:pPr>
      <w:r w:rsidRPr="00F60C28">
        <w:rPr>
          <w:rFonts w:ascii="Arial" w:hAnsi="Arial" w:cs="Arial"/>
          <w:b/>
          <w:sz w:val="22"/>
        </w:rPr>
        <w:t>Barbara Gazzale</w:t>
      </w:r>
    </w:p>
    <w:p w14:paraId="087A1502" w14:textId="77777777" w:rsidR="00F60C28" w:rsidRPr="00F60C28" w:rsidRDefault="00F60C28" w:rsidP="00F60C28">
      <w:pPr>
        <w:jc w:val="both"/>
        <w:rPr>
          <w:rFonts w:ascii="Arial" w:hAnsi="Arial" w:cs="Arial"/>
          <w:b/>
          <w:sz w:val="22"/>
        </w:rPr>
      </w:pPr>
      <w:r w:rsidRPr="00F60C28">
        <w:rPr>
          <w:rFonts w:ascii="Arial" w:hAnsi="Arial" w:cs="Arial"/>
          <w:b/>
          <w:sz w:val="22"/>
        </w:rPr>
        <w:t>348 4144780</w:t>
      </w:r>
    </w:p>
    <w:p w14:paraId="1E0E56A2" w14:textId="77777777" w:rsidR="00F60C28" w:rsidRPr="00F60C28" w:rsidRDefault="00F60C28" w:rsidP="00F60C28">
      <w:pPr>
        <w:shd w:val="clear" w:color="auto" w:fill="FFFFFF"/>
        <w:rPr>
          <w:rFonts w:ascii="Arial" w:hAnsi="Arial" w:cs="Arial"/>
          <w:i/>
          <w:color w:val="222222"/>
        </w:rPr>
      </w:pPr>
    </w:p>
    <w:p w14:paraId="4DE2CC61" w14:textId="47369A9F" w:rsidR="00D8340F" w:rsidRPr="00F60C28" w:rsidRDefault="00D8340F" w:rsidP="00D8340F">
      <w:pPr>
        <w:rPr>
          <w:rFonts w:ascii="Arial" w:hAnsi="Arial" w:cs="Arial"/>
          <w:color w:val="002060"/>
        </w:rPr>
      </w:pPr>
    </w:p>
    <w:p w14:paraId="14D693EA" w14:textId="06F53CCC" w:rsidR="00BA3A98" w:rsidRPr="00F60C28" w:rsidRDefault="00BA3A98" w:rsidP="00D8340F">
      <w:pPr>
        <w:rPr>
          <w:rFonts w:ascii="Arial" w:hAnsi="Arial" w:cs="Arial"/>
          <w:color w:val="002060"/>
        </w:rPr>
      </w:pPr>
    </w:p>
    <w:p w14:paraId="092A07D9" w14:textId="2C7BC9FA" w:rsidR="00BA3A98" w:rsidRPr="00F60C28" w:rsidRDefault="00BA3A98" w:rsidP="00D8340F">
      <w:pPr>
        <w:rPr>
          <w:rFonts w:ascii="Arial" w:hAnsi="Arial" w:cs="Arial"/>
          <w:color w:val="002060"/>
        </w:rPr>
      </w:pPr>
    </w:p>
    <w:p w14:paraId="240053DD" w14:textId="3B9E092C" w:rsidR="00BA3A98" w:rsidRPr="00F60C28" w:rsidRDefault="00BA3A98" w:rsidP="00D8340F">
      <w:pPr>
        <w:rPr>
          <w:rFonts w:ascii="Arial" w:hAnsi="Arial" w:cs="Arial"/>
          <w:color w:val="002060"/>
        </w:rPr>
      </w:pPr>
    </w:p>
    <w:p w14:paraId="38D2A631" w14:textId="043E6B0A" w:rsidR="00BA3A98" w:rsidRPr="00F60C28" w:rsidRDefault="00BA3A98" w:rsidP="00D8340F">
      <w:pPr>
        <w:rPr>
          <w:rFonts w:ascii="Arial" w:hAnsi="Arial" w:cs="Arial"/>
          <w:color w:val="002060"/>
        </w:rPr>
      </w:pPr>
    </w:p>
    <w:p w14:paraId="699D0BD0" w14:textId="77777777" w:rsidR="00BA3A98" w:rsidRPr="00F60C28" w:rsidRDefault="00BA3A98" w:rsidP="00D8340F">
      <w:pPr>
        <w:rPr>
          <w:rFonts w:ascii="Arial" w:hAnsi="Arial" w:cs="Arial"/>
          <w:color w:val="002060"/>
        </w:rPr>
      </w:pPr>
    </w:p>
    <w:p w14:paraId="10C78872" w14:textId="77777777" w:rsidR="004F465E" w:rsidRPr="00F60C28" w:rsidRDefault="004F465E" w:rsidP="004F465E">
      <w:pPr>
        <w:rPr>
          <w:rFonts w:ascii="Arial" w:hAnsi="Arial" w:cs="Arial"/>
        </w:rPr>
      </w:pPr>
      <w:r w:rsidRPr="00F60C28">
        <w:rPr>
          <w:rFonts w:ascii="Arial" w:hAnsi="Arial" w:cs="Arial"/>
        </w:rPr>
        <w:t xml:space="preserve">                   </w:t>
      </w:r>
    </w:p>
    <w:p w14:paraId="5C34073C" w14:textId="77777777" w:rsidR="00B27A2B" w:rsidRPr="00F60C28" w:rsidRDefault="00B27A2B" w:rsidP="00D8340F">
      <w:pPr>
        <w:rPr>
          <w:rFonts w:ascii="Arial" w:hAnsi="Arial" w:cs="Arial"/>
          <w:color w:val="002060"/>
        </w:rPr>
      </w:pPr>
    </w:p>
    <w:p w14:paraId="530660FD" w14:textId="77777777" w:rsidR="00B27A2B" w:rsidRPr="00F60C28" w:rsidRDefault="00B27A2B" w:rsidP="00D8340F">
      <w:pPr>
        <w:rPr>
          <w:rFonts w:ascii="Arial" w:hAnsi="Arial" w:cs="Arial"/>
          <w:color w:val="002060"/>
        </w:rPr>
      </w:pPr>
    </w:p>
    <w:p w14:paraId="36C39BBC" w14:textId="77777777" w:rsidR="00B27A2B" w:rsidRPr="00F60C28" w:rsidRDefault="00B27A2B" w:rsidP="00D8340F">
      <w:pPr>
        <w:rPr>
          <w:rFonts w:ascii="Arial" w:hAnsi="Arial" w:cs="Arial"/>
          <w:color w:val="002060"/>
        </w:rPr>
      </w:pPr>
    </w:p>
    <w:sectPr w:rsidR="00B27A2B" w:rsidRPr="00F60C28" w:rsidSect="00F60C28">
      <w:headerReference w:type="default" r:id="rId7"/>
      <w:footerReference w:type="default" r:id="rId8"/>
      <w:pgSz w:w="11906" w:h="16838"/>
      <w:pgMar w:top="226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544E76" w14:textId="77777777" w:rsidR="00E8482F" w:rsidRDefault="00E8482F">
      <w:r>
        <w:separator/>
      </w:r>
    </w:p>
  </w:endnote>
  <w:endnote w:type="continuationSeparator" w:id="0">
    <w:p w14:paraId="245CCF4C" w14:textId="77777777" w:rsidR="00E8482F" w:rsidRDefault="00E8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6680838"/>
      <w:docPartObj>
        <w:docPartGallery w:val="Page Numbers (Bottom of Page)"/>
        <w:docPartUnique/>
      </w:docPartObj>
    </w:sdtPr>
    <w:sdtEndPr/>
    <w:sdtContent>
      <w:p w14:paraId="3F93E106" w14:textId="77777777" w:rsidR="009249E9" w:rsidRDefault="009249E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41E">
          <w:rPr>
            <w:noProof/>
          </w:rPr>
          <w:t>2</w:t>
        </w:r>
        <w:r>
          <w:fldChar w:fldCharType="end"/>
        </w:r>
      </w:p>
    </w:sdtContent>
  </w:sdt>
  <w:p w14:paraId="272C7EF8" w14:textId="77777777" w:rsidR="009249E9" w:rsidRPr="00440B84" w:rsidRDefault="009249E9" w:rsidP="00440B84">
    <w:pPr>
      <w:pStyle w:val="Pidipagina"/>
      <w:rPr>
        <w:rFonts w:ascii="Arial" w:hAnsi="Arial" w:cs="Arial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50031" w14:textId="77777777" w:rsidR="00E8482F" w:rsidRDefault="00E8482F">
      <w:r>
        <w:separator/>
      </w:r>
    </w:p>
  </w:footnote>
  <w:footnote w:type="continuationSeparator" w:id="0">
    <w:p w14:paraId="165CB6F7" w14:textId="77777777" w:rsidR="00E8482F" w:rsidRDefault="00E84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0D28F" w14:textId="77777777" w:rsidR="009249E9" w:rsidRDefault="009249E9" w:rsidP="00440B84">
    <w:pPr>
      <w:pStyle w:val="Intestazione"/>
    </w:pPr>
    <w:r>
      <w:rPr>
        <w:noProof/>
      </w:rPr>
      <w:drawing>
        <wp:inline distT="0" distB="0" distL="0" distR="0" wp14:anchorId="7896BA0B" wp14:editId="496C223F">
          <wp:extent cx="4257675" cy="781050"/>
          <wp:effectExtent l="0" t="0" r="0" b="0"/>
          <wp:docPr id="8" name="Immagine 8" descr="Logo_Trieste-Marine-Term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Trieste-Marine-Term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76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E282B"/>
    <w:multiLevelType w:val="hybridMultilevel"/>
    <w:tmpl w:val="77603D1C"/>
    <w:lvl w:ilvl="0" w:tplc="989C37A8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06B5E"/>
    <w:multiLevelType w:val="hybridMultilevel"/>
    <w:tmpl w:val="40926F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147FA"/>
    <w:multiLevelType w:val="multilevel"/>
    <w:tmpl w:val="2CECDF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C53ED"/>
    <w:multiLevelType w:val="hybridMultilevel"/>
    <w:tmpl w:val="7CD80562"/>
    <w:lvl w:ilvl="0" w:tplc="B5B698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D131F"/>
    <w:multiLevelType w:val="hybridMultilevel"/>
    <w:tmpl w:val="086A45DC"/>
    <w:lvl w:ilvl="0" w:tplc="0410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D130A"/>
    <w:multiLevelType w:val="hybridMultilevel"/>
    <w:tmpl w:val="14B01F94"/>
    <w:lvl w:ilvl="0" w:tplc="9A32194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D1C91"/>
    <w:multiLevelType w:val="hybridMultilevel"/>
    <w:tmpl w:val="90326C2A"/>
    <w:lvl w:ilvl="0" w:tplc="1B1C861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E18E3"/>
    <w:multiLevelType w:val="hybridMultilevel"/>
    <w:tmpl w:val="D1FEA3B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FD4388"/>
    <w:multiLevelType w:val="hybridMultilevel"/>
    <w:tmpl w:val="C9462112"/>
    <w:lvl w:ilvl="0" w:tplc="0410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A759C6"/>
    <w:multiLevelType w:val="hybridMultilevel"/>
    <w:tmpl w:val="31A4DD3A"/>
    <w:lvl w:ilvl="0" w:tplc="04100011">
      <w:start w:val="1"/>
      <w:numFmt w:val="decimal"/>
      <w:lvlText w:val="%1)"/>
      <w:lvlJc w:val="left"/>
      <w:pPr>
        <w:ind w:left="1776" w:hanging="360"/>
      </w:pPr>
    </w:lvl>
    <w:lvl w:ilvl="1" w:tplc="04100019">
      <w:start w:val="1"/>
      <w:numFmt w:val="lowerLetter"/>
      <w:lvlText w:val="%2."/>
      <w:lvlJc w:val="left"/>
      <w:pPr>
        <w:ind w:left="2496" w:hanging="360"/>
      </w:pPr>
    </w:lvl>
    <w:lvl w:ilvl="2" w:tplc="0410001B">
      <w:start w:val="1"/>
      <w:numFmt w:val="lowerRoman"/>
      <w:lvlText w:val="%3."/>
      <w:lvlJc w:val="right"/>
      <w:pPr>
        <w:ind w:left="3216" w:hanging="180"/>
      </w:pPr>
    </w:lvl>
    <w:lvl w:ilvl="3" w:tplc="0410000F">
      <w:start w:val="1"/>
      <w:numFmt w:val="decimal"/>
      <w:lvlText w:val="%4."/>
      <w:lvlJc w:val="left"/>
      <w:pPr>
        <w:ind w:left="3936" w:hanging="360"/>
      </w:pPr>
    </w:lvl>
    <w:lvl w:ilvl="4" w:tplc="04100019">
      <w:start w:val="1"/>
      <w:numFmt w:val="lowerLetter"/>
      <w:lvlText w:val="%5."/>
      <w:lvlJc w:val="left"/>
      <w:pPr>
        <w:ind w:left="4656" w:hanging="360"/>
      </w:pPr>
    </w:lvl>
    <w:lvl w:ilvl="5" w:tplc="0410001B">
      <w:start w:val="1"/>
      <w:numFmt w:val="lowerRoman"/>
      <w:lvlText w:val="%6."/>
      <w:lvlJc w:val="right"/>
      <w:pPr>
        <w:ind w:left="5376" w:hanging="180"/>
      </w:pPr>
    </w:lvl>
    <w:lvl w:ilvl="6" w:tplc="0410000F">
      <w:start w:val="1"/>
      <w:numFmt w:val="decimal"/>
      <w:lvlText w:val="%7."/>
      <w:lvlJc w:val="left"/>
      <w:pPr>
        <w:ind w:left="6096" w:hanging="360"/>
      </w:pPr>
    </w:lvl>
    <w:lvl w:ilvl="7" w:tplc="04100019">
      <w:start w:val="1"/>
      <w:numFmt w:val="lowerLetter"/>
      <w:lvlText w:val="%8."/>
      <w:lvlJc w:val="left"/>
      <w:pPr>
        <w:ind w:left="6816" w:hanging="360"/>
      </w:pPr>
    </w:lvl>
    <w:lvl w:ilvl="8" w:tplc="0410001B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691715D"/>
    <w:multiLevelType w:val="hybridMultilevel"/>
    <w:tmpl w:val="73D87E4E"/>
    <w:lvl w:ilvl="0" w:tplc="1B1C861A">
      <w:numFmt w:val="bullet"/>
      <w:lvlText w:val="-"/>
      <w:lvlJc w:val="left"/>
      <w:pPr>
        <w:ind w:left="2136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1E6C4ADC"/>
    <w:multiLevelType w:val="hybridMultilevel"/>
    <w:tmpl w:val="427AAC36"/>
    <w:lvl w:ilvl="0" w:tplc="0410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22F9656E"/>
    <w:multiLevelType w:val="hybridMultilevel"/>
    <w:tmpl w:val="4EF0D958"/>
    <w:lvl w:ilvl="0" w:tplc="2318B376">
      <w:start w:val="1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65685"/>
    <w:multiLevelType w:val="hybridMultilevel"/>
    <w:tmpl w:val="D9BED7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2B1B6B"/>
    <w:multiLevelType w:val="hybridMultilevel"/>
    <w:tmpl w:val="3184E3E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36577E"/>
    <w:multiLevelType w:val="hybridMultilevel"/>
    <w:tmpl w:val="96C6D7CA"/>
    <w:lvl w:ilvl="0" w:tplc="A858D9A2">
      <w:start w:val="3"/>
      <w:numFmt w:val="bullet"/>
      <w:lvlText w:val="-"/>
      <w:lvlJc w:val="left"/>
      <w:pPr>
        <w:ind w:left="720" w:hanging="360"/>
      </w:pPr>
      <w:rPr>
        <w:rFonts w:ascii="Century" w:eastAsia="Times New Roman" w:hAnsi="Century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5C8C"/>
    <w:multiLevelType w:val="hybridMultilevel"/>
    <w:tmpl w:val="45D2FDF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910A40"/>
    <w:multiLevelType w:val="hybridMultilevel"/>
    <w:tmpl w:val="F070BF0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F1724E"/>
    <w:multiLevelType w:val="hybridMultilevel"/>
    <w:tmpl w:val="89AE6C7A"/>
    <w:lvl w:ilvl="0" w:tplc="95C08A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5E95DFC"/>
    <w:multiLevelType w:val="hybridMultilevel"/>
    <w:tmpl w:val="225A1FAA"/>
    <w:lvl w:ilvl="0" w:tplc="63E007C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E1DFB"/>
    <w:multiLevelType w:val="hybridMultilevel"/>
    <w:tmpl w:val="B87269AC"/>
    <w:lvl w:ilvl="0" w:tplc="6EC63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C0EB8"/>
    <w:multiLevelType w:val="hybridMultilevel"/>
    <w:tmpl w:val="E3D2AFBE"/>
    <w:lvl w:ilvl="0" w:tplc="0410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82B6D"/>
    <w:multiLevelType w:val="hybridMultilevel"/>
    <w:tmpl w:val="5E64A47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6D0C95"/>
    <w:multiLevelType w:val="hybridMultilevel"/>
    <w:tmpl w:val="AD62F2BE"/>
    <w:lvl w:ilvl="0" w:tplc="AD0A0CA0">
      <w:numFmt w:val="bullet"/>
      <w:lvlText w:val=""/>
      <w:lvlJc w:val="left"/>
      <w:pPr>
        <w:ind w:left="1068" w:hanging="360"/>
      </w:pPr>
      <w:rPr>
        <w:rFonts w:ascii="Wingdings" w:eastAsia="Times New Roman" w:hAnsi="Wingdings" w:cs="Tahom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A564BFB"/>
    <w:multiLevelType w:val="hybridMultilevel"/>
    <w:tmpl w:val="A23C80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B783E"/>
    <w:multiLevelType w:val="hybridMultilevel"/>
    <w:tmpl w:val="6E2C06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544F3C"/>
    <w:multiLevelType w:val="hybridMultilevel"/>
    <w:tmpl w:val="FA7ACB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B256D"/>
    <w:multiLevelType w:val="hybridMultilevel"/>
    <w:tmpl w:val="89AE6C7A"/>
    <w:lvl w:ilvl="0" w:tplc="95C08A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6767FF4"/>
    <w:multiLevelType w:val="hybridMultilevel"/>
    <w:tmpl w:val="912CDBB8"/>
    <w:lvl w:ilvl="0" w:tplc="FB687CE2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AA770A"/>
    <w:multiLevelType w:val="hybridMultilevel"/>
    <w:tmpl w:val="99107FDC"/>
    <w:lvl w:ilvl="0" w:tplc="07F49E9E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1B7DD2"/>
    <w:multiLevelType w:val="hybridMultilevel"/>
    <w:tmpl w:val="53044B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032A7"/>
    <w:multiLevelType w:val="hybridMultilevel"/>
    <w:tmpl w:val="D3F275FA"/>
    <w:lvl w:ilvl="0" w:tplc="D844489A">
      <w:start w:val="3"/>
      <w:numFmt w:val="bullet"/>
      <w:lvlText w:val=""/>
      <w:lvlJc w:val="left"/>
      <w:pPr>
        <w:ind w:left="1068" w:hanging="360"/>
      </w:pPr>
      <w:rPr>
        <w:rFonts w:ascii="Wingdings" w:eastAsia="Calibri" w:hAnsi="Wingdings" w:cs="Tahom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D3D6F16"/>
    <w:multiLevelType w:val="hybridMultilevel"/>
    <w:tmpl w:val="18DC319C"/>
    <w:lvl w:ilvl="0" w:tplc="9BF47266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733475"/>
    <w:multiLevelType w:val="hybridMultilevel"/>
    <w:tmpl w:val="4D10D8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1"/>
  </w:num>
  <w:num w:numId="5">
    <w:abstractNumId w:val="4"/>
  </w:num>
  <w:num w:numId="6">
    <w:abstractNumId w:val="24"/>
  </w:num>
  <w:num w:numId="7">
    <w:abstractNumId w:val="29"/>
  </w:num>
  <w:num w:numId="8">
    <w:abstractNumId w:val="25"/>
  </w:num>
  <w:num w:numId="9">
    <w:abstractNumId w:val="30"/>
  </w:num>
  <w:num w:numId="10">
    <w:abstractNumId w:val="5"/>
  </w:num>
  <w:num w:numId="11">
    <w:abstractNumId w:val="32"/>
  </w:num>
  <w:num w:numId="12">
    <w:abstractNumId w:val="23"/>
  </w:num>
  <w:num w:numId="13">
    <w:abstractNumId w:val="28"/>
  </w:num>
  <w:num w:numId="14">
    <w:abstractNumId w:val="21"/>
  </w:num>
  <w:num w:numId="15">
    <w:abstractNumId w:val="33"/>
  </w:num>
  <w:num w:numId="16">
    <w:abstractNumId w:val="13"/>
  </w:num>
  <w:num w:numId="17">
    <w:abstractNumId w:val="27"/>
  </w:num>
  <w:num w:numId="18">
    <w:abstractNumId w:val="18"/>
  </w:num>
  <w:num w:numId="19">
    <w:abstractNumId w:val="16"/>
  </w:num>
  <w:num w:numId="20">
    <w:abstractNumId w:val="15"/>
  </w:num>
  <w:num w:numId="21">
    <w:abstractNumId w:val="26"/>
  </w:num>
  <w:num w:numId="22">
    <w:abstractNumId w:val="0"/>
  </w:num>
  <w:num w:numId="23">
    <w:abstractNumId w:val="31"/>
  </w:num>
  <w:num w:numId="24">
    <w:abstractNumId w:val="6"/>
  </w:num>
  <w:num w:numId="25">
    <w:abstractNumId w:val="3"/>
  </w:num>
  <w:num w:numId="26">
    <w:abstractNumId w:val="7"/>
  </w:num>
  <w:num w:numId="27">
    <w:abstractNumId w:val="14"/>
  </w:num>
  <w:num w:numId="28">
    <w:abstractNumId w:val="10"/>
  </w:num>
  <w:num w:numId="29">
    <w:abstractNumId w:val="17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11"/>
  </w:num>
  <w:num w:numId="33">
    <w:abstractNumId w:val="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53"/>
    <w:rsid w:val="00001D02"/>
    <w:rsid w:val="00015C5B"/>
    <w:rsid w:val="0001617D"/>
    <w:rsid w:val="00017695"/>
    <w:rsid w:val="00023A91"/>
    <w:rsid w:val="00025727"/>
    <w:rsid w:val="00026A98"/>
    <w:rsid w:val="00046190"/>
    <w:rsid w:val="000526B7"/>
    <w:rsid w:val="000529AC"/>
    <w:rsid w:val="0005402B"/>
    <w:rsid w:val="00054BDD"/>
    <w:rsid w:val="00072CAC"/>
    <w:rsid w:val="00073578"/>
    <w:rsid w:val="00074CBC"/>
    <w:rsid w:val="00081D7A"/>
    <w:rsid w:val="00082BD1"/>
    <w:rsid w:val="00087CA7"/>
    <w:rsid w:val="0009773D"/>
    <w:rsid w:val="000B1009"/>
    <w:rsid w:val="000B4C45"/>
    <w:rsid w:val="000B5B93"/>
    <w:rsid w:val="000B7F86"/>
    <w:rsid w:val="000D1F73"/>
    <w:rsid w:val="00122151"/>
    <w:rsid w:val="001310C7"/>
    <w:rsid w:val="00154D83"/>
    <w:rsid w:val="00160ECC"/>
    <w:rsid w:val="00161FEC"/>
    <w:rsid w:val="00171492"/>
    <w:rsid w:val="00176695"/>
    <w:rsid w:val="00176FA9"/>
    <w:rsid w:val="001814ED"/>
    <w:rsid w:val="001937FA"/>
    <w:rsid w:val="001A08B9"/>
    <w:rsid w:val="001C3F86"/>
    <w:rsid w:val="001E4FB2"/>
    <w:rsid w:val="001E5663"/>
    <w:rsid w:val="001F6CF6"/>
    <w:rsid w:val="00211908"/>
    <w:rsid w:val="00216E37"/>
    <w:rsid w:val="00222461"/>
    <w:rsid w:val="00236138"/>
    <w:rsid w:val="002418AF"/>
    <w:rsid w:val="00250DFB"/>
    <w:rsid w:val="00253AD5"/>
    <w:rsid w:val="00270F6C"/>
    <w:rsid w:val="0027696F"/>
    <w:rsid w:val="00280E53"/>
    <w:rsid w:val="00296273"/>
    <w:rsid w:val="002972EF"/>
    <w:rsid w:val="002A6E54"/>
    <w:rsid w:val="002B1863"/>
    <w:rsid w:val="002B7C1D"/>
    <w:rsid w:val="002C071F"/>
    <w:rsid w:val="002C37D9"/>
    <w:rsid w:val="002C3855"/>
    <w:rsid w:val="002C5D67"/>
    <w:rsid w:val="002D1DE0"/>
    <w:rsid w:val="002E0E18"/>
    <w:rsid w:val="002E37B5"/>
    <w:rsid w:val="002E4473"/>
    <w:rsid w:val="002F6A2D"/>
    <w:rsid w:val="0031035C"/>
    <w:rsid w:val="00314D80"/>
    <w:rsid w:val="0032031F"/>
    <w:rsid w:val="003205B0"/>
    <w:rsid w:val="00320C91"/>
    <w:rsid w:val="00334C8A"/>
    <w:rsid w:val="0036100A"/>
    <w:rsid w:val="00361382"/>
    <w:rsid w:val="00371BF8"/>
    <w:rsid w:val="00377877"/>
    <w:rsid w:val="0038625F"/>
    <w:rsid w:val="003905EC"/>
    <w:rsid w:val="003A3092"/>
    <w:rsid w:val="003A3671"/>
    <w:rsid w:val="003B6E7B"/>
    <w:rsid w:val="003C2D4A"/>
    <w:rsid w:val="003C5912"/>
    <w:rsid w:val="003C7A20"/>
    <w:rsid w:val="003D3832"/>
    <w:rsid w:val="003D4438"/>
    <w:rsid w:val="003D6FD8"/>
    <w:rsid w:val="003E4AA9"/>
    <w:rsid w:val="003E4C5E"/>
    <w:rsid w:val="003E5C78"/>
    <w:rsid w:val="003F0BC2"/>
    <w:rsid w:val="003F4B07"/>
    <w:rsid w:val="00420997"/>
    <w:rsid w:val="00430B62"/>
    <w:rsid w:val="0043321B"/>
    <w:rsid w:val="00435DED"/>
    <w:rsid w:val="004366C1"/>
    <w:rsid w:val="00436BA1"/>
    <w:rsid w:val="00437C40"/>
    <w:rsid w:val="00440B84"/>
    <w:rsid w:val="00441940"/>
    <w:rsid w:val="004446C3"/>
    <w:rsid w:val="004578EE"/>
    <w:rsid w:val="00457F2B"/>
    <w:rsid w:val="00471C3A"/>
    <w:rsid w:val="00483EB9"/>
    <w:rsid w:val="00493DFF"/>
    <w:rsid w:val="004B02C8"/>
    <w:rsid w:val="004B4879"/>
    <w:rsid w:val="004B63FB"/>
    <w:rsid w:val="004C03CC"/>
    <w:rsid w:val="004C3C23"/>
    <w:rsid w:val="004C4922"/>
    <w:rsid w:val="004D0404"/>
    <w:rsid w:val="004D369B"/>
    <w:rsid w:val="004D3D59"/>
    <w:rsid w:val="004D7052"/>
    <w:rsid w:val="004E3557"/>
    <w:rsid w:val="004F2D7C"/>
    <w:rsid w:val="004F465E"/>
    <w:rsid w:val="004F6791"/>
    <w:rsid w:val="004F7D89"/>
    <w:rsid w:val="005101A6"/>
    <w:rsid w:val="005146A0"/>
    <w:rsid w:val="005210A0"/>
    <w:rsid w:val="00524EB9"/>
    <w:rsid w:val="005303F8"/>
    <w:rsid w:val="005319E4"/>
    <w:rsid w:val="00534B41"/>
    <w:rsid w:val="005354E5"/>
    <w:rsid w:val="00552475"/>
    <w:rsid w:val="00560925"/>
    <w:rsid w:val="005633F7"/>
    <w:rsid w:val="00565BA4"/>
    <w:rsid w:val="00580183"/>
    <w:rsid w:val="005846B9"/>
    <w:rsid w:val="00587BC8"/>
    <w:rsid w:val="005940E8"/>
    <w:rsid w:val="005A167F"/>
    <w:rsid w:val="005A482F"/>
    <w:rsid w:val="005B3E65"/>
    <w:rsid w:val="005C7FEC"/>
    <w:rsid w:val="005D2237"/>
    <w:rsid w:val="005E0C41"/>
    <w:rsid w:val="005E48DF"/>
    <w:rsid w:val="005E789A"/>
    <w:rsid w:val="005F2287"/>
    <w:rsid w:val="005F4CE5"/>
    <w:rsid w:val="005F4CFC"/>
    <w:rsid w:val="005F7A59"/>
    <w:rsid w:val="006030B7"/>
    <w:rsid w:val="00610942"/>
    <w:rsid w:val="00613281"/>
    <w:rsid w:val="00642C46"/>
    <w:rsid w:val="006466FF"/>
    <w:rsid w:val="00651418"/>
    <w:rsid w:val="00655190"/>
    <w:rsid w:val="0066171D"/>
    <w:rsid w:val="00670A3A"/>
    <w:rsid w:val="0067514C"/>
    <w:rsid w:val="006814BE"/>
    <w:rsid w:val="006A0085"/>
    <w:rsid w:val="006A0D68"/>
    <w:rsid w:val="006B0A35"/>
    <w:rsid w:val="006B4E30"/>
    <w:rsid w:val="006B6BC0"/>
    <w:rsid w:val="006C2271"/>
    <w:rsid w:val="006D0249"/>
    <w:rsid w:val="006D054B"/>
    <w:rsid w:val="006D2436"/>
    <w:rsid w:val="006E4733"/>
    <w:rsid w:val="006F27D8"/>
    <w:rsid w:val="00703353"/>
    <w:rsid w:val="00705D6D"/>
    <w:rsid w:val="00711ACE"/>
    <w:rsid w:val="00713F2E"/>
    <w:rsid w:val="00721D59"/>
    <w:rsid w:val="007404D4"/>
    <w:rsid w:val="00744D98"/>
    <w:rsid w:val="0076142A"/>
    <w:rsid w:val="0076291C"/>
    <w:rsid w:val="0076296F"/>
    <w:rsid w:val="007749B0"/>
    <w:rsid w:val="007970CD"/>
    <w:rsid w:val="007A356A"/>
    <w:rsid w:val="007A556F"/>
    <w:rsid w:val="007B0A14"/>
    <w:rsid w:val="007C223A"/>
    <w:rsid w:val="007C3F14"/>
    <w:rsid w:val="007C7B3F"/>
    <w:rsid w:val="007D002D"/>
    <w:rsid w:val="007D2DE0"/>
    <w:rsid w:val="007F050E"/>
    <w:rsid w:val="007F2C53"/>
    <w:rsid w:val="00826312"/>
    <w:rsid w:val="008269B8"/>
    <w:rsid w:val="0083057F"/>
    <w:rsid w:val="0083306C"/>
    <w:rsid w:val="00840543"/>
    <w:rsid w:val="0084263E"/>
    <w:rsid w:val="00843EEC"/>
    <w:rsid w:val="00863F3D"/>
    <w:rsid w:val="00864FE2"/>
    <w:rsid w:val="0086568A"/>
    <w:rsid w:val="0088079C"/>
    <w:rsid w:val="008A7AB2"/>
    <w:rsid w:val="008A7F58"/>
    <w:rsid w:val="008B4B37"/>
    <w:rsid w:val="008C2DB7"/>
    <w:rsid w:val="008C709C"/>
    <w:rsid w:val="008D06A3"/>
    <w:rsid w:val="008D157A"/>
    <w:rsid w:val="008D5825"/>
    <w:rsid w:val="008D6B56"/>
    <w:rsid w:val="008D7C06"/>
    <w:rsid w:val="008E1540"/>
    <w:rsid w:val="008E1B5F"/>
    <w:rsid w:val="008E29CC"/>
    <w:rsid w:val="008E43E2"/>
    <w:rsid w:val="008E77ED"/>
    <w:rsid w:val="008F0E28"/>
    <w:rsid w:val="008F1373"/>
    <w:rsid w:val="008F7147"/>
    <w:rsid w:val="008F7863"/>
    <w:rsid w:val="00910CF9"/>
    <w:rsid w:val="00910F77"/>
    <w:rsid w:val="0092317B"/>
    <w:rsid w:val="00923531"/>
    <w:rsid w:val="009249E9"/>
    <w:rsid w:val="009467FF"/>
    <w:rsid w:val="009478DC"/>
    <w:rsid w:val="00952013"/>
    <w:rsid w:val="009632DE"/>
    <w:rsid w:val="00985D0A"/>
    <w:rsid w:val="00996317"/>
    <w:rsid w:val="009974B8"/>
    <w:rsid w:val="009B6D1A"/>
    <w:rsid w:val="009C21E0"/>
    <w:rsid w:val="009D0D36"/>
    <w:rsid w:val="009D3EA6"/>
    <w:rsid w:val="009F641E"/>
    <w:rsid w:val="00A016ED"/>
    <w:rsid w:val="00A02EC3"/>
    <w:rsid w:val="00A05993"/>
    <w:rsid w:val="00A15A1F"/>
    <w:rsid w:val="00A24B02"/>
    <w:rsid w:val="00A30EFD"/>
    <w:rsid w:val="00A500FA"/>
    <w:rsid w:val="00A55F34"/>
    <w:rsid w:val="00A6121F"/>
    <w:rsid w:val="00A62566"/>
    <w:rsid w:val="00A63D92"/>
    <w:rsid w:val="00A716D7"/>
    <w:rsid w:val="00A871EE"/>
    <w:rsid w:val="00A93DD1"/>
    <w:rsid w:val="00AA5D47"/>
    <w:rsid w:val="00AB581A"/>
    <w:rsid w:val="00AD64C9"/>
    <w:rsid w:val="00AE2B42"/>
    <w:rsid w:val="00AE4D5D"/>
    <w:rsid w:val="00AF1BF9"/>
    <w:rsid w:val="00B05A2A"/>
    <w:rsid w:val="00B17368"/>
    <w:rsid w:val="00B17E55"/>
    <w:rsid w:val="00B21D44"/>
    <w:rsid w:val="00B220B9"/>
    <w:rsid w:val="00B27A2B"/>
    <w:rsid w:val="00B5334C"/>
    <w:rsid w:val="00B625C2"/>
    <w:rsid w:val="00B63780"/>
    <w:rsid w:val="00B65D3B"/>
    <w:rsid w:val="00B71BB7"/>
    <w:rsid w:val="00B720CB"/>
    <w:rsid w:val="00B741F2"/>
    <w:rsid w:val="00B743FE"/>
    <w:rsid w:val="00B80FBA"/>
    <w:rsid w:val="00B94A7E"/>
    <w:rsid w:val="00BA1C69"/>
    <w:rsid w:val="00BA2646"/>
    <w:rsid w:val="00BA3A98"/>
    <w:rsid w:val="00BB6F33"/>
    <w:rsid w:val="00BC4ACE"/>
    <w:rsid w:val="00BC6617"/>
    <w:rsid w:val="00BD03A3"/>
    <w:rsid w:val="00BD1571"/>
    <w:rsid w:val="00BD717F"/>
    <w:rsid w:val="00BE0C72"/>
    <w:rsid w:val="00C02567"/>
    <w:rsid w:val="00C20741"/>
    <w:rsid w:val="00C25C47"/>
    <w:rsid w:val="00C32B68"/>
    <w:rsid w:val="00C3588F"/>
    <w:rsid w:val="00C36D91"/>
    <w:rsid w:val="00C3784F"/>
    <w:rsid w:val="00C45128"/>
    <w:rsid w:val="00C65063"/>
    <w:rsid w:val="00C73F06"/>
    <w:rsid w:val="00C7527D"/>
    <w:rsid w:val="00C7533B"/>
    <w:rsid w:val="00C861B8"/>
    <w:rsid w:val="00C96F3A"/>
    <w:rsid w:val="00CA2A8E"/>
    <w:rsid w:val="00CA74C4"/>
    <w:rsid w:val="00CB1296"/>
    <w:rsid w:val="00CC1A50"/>
    <w:rsid w:val="00CC2D2E"/>
    <w:rsid w:val="00CC3AD6"/>
    <w:rsid w:val="00CD6BF2"/>
    <w:rsid w:val="00CE6053"/>
    <w:rsid w:val="00CF148C"/>
    <w:rsid w:val="00CF523F"/>
    <w:rsid w:val="00D01DD4"/>
    <w:rsid w:val="00D12090"/>
    <w:rsid w:val="00D12BE6"/>
    <w:rsid w:val="00D171C2"/>
    <w:rsid w:val="00D1750C"/>
    <w:rsid w:val="00D52DDC"/>
    <w:rsid w:val="00D53E18"/>
    <w:rsid w:val="00D60105"/>
    <w:rsid w:val="00D60FD7"/>
    <w:rsid w:val="00D62D62"/>
    <w:rsid w:val="00D65962"/>
    <w:rsid w:val="00D8340F"/>
    <w:rsid w:val="00DA5E50"/>
    <w:rsid w:val="00DA60E1"/>
    <w:rsid w:val="00DA6316"/>
    <w:rsid w:val="00DB6680"/>
    <w:rsid w:val="00DB7753"/>
    <w:rsid w:val="00DC6256"/>
    <w:rsid w:val="00DD4A43"/>
    <w:rsid w:val="00DD733F"/>
    <w:rsid w:val="00DD74DA"/>
    <w:rsid w:val="00DE0D59"/>
    <w:rsid w:val="00DE44E2"/>
    <w:rsid w:val="00DE5F5A"/>
    <w:rsid w:val="00DF18AE"/>
    <w:rsid w:val="00E1417C"/>
    <w:rsid w:val="00E2056B"/>
    <w:rsid w:val="00E250AF"/>
    <w:rsid w:val="00E3184D"/>
    <w:rsid w:val="00E32733"/>
    <w:rsid w:val="00E349A3"/>
    <w:rsid w:val="00E35ECB"/>
    <w:rsid w:val="00E425C0"/>
    <w:rsid w:val="00E43EEF"/>
    <w:rsid w:val="00E459D3"/>
    <w:rsid w:val="00E5327C"/>
    <w:rsid w:val="00E65E05"/>
    <w:rsid w:val="00E71C97"/>
    <w:rsid w:val="00E7593E"/>
    <w:rsid w:val="00E81B11"/>
    <w:rsid w:val="00E8482F"/>
    <w:rsid w:val="00E87189"/>
    <w:rsid w:val="00E948CB"/>
    <w:rsid w:val="00E9625B"/>
    <w:rsid w:val="00EC2034"/>
    <w:rsid w:val="00EC4A7E"/>
    <w:rsid w:val="00EC5689"/>
    <w:rsid w:val="00EE1F59"/>
    <w:rsid w:val="00EF4420"/>
    <w:rsid w:val="00EF72CE"/>
    <w:rsid w:val="00F16746"/>
    <w:rsid w:val="00F2458A"/>
    <w:rsid w:val="00F27489"/>
    <w:rsid w:val="00F333DA"/>
    <w:rsid w:val="00F33ED3"/>
    <w:rsid w:val="00F35E24"/>
    <w:rsid w:val="00F6058B"/>
    <w:rsid w:val="00F60C28"/>
    <w:rsid w:val="00F63562"/>
    <w:rsid w:val="00F640C2"/>
    <w:rsid w:val="00F66336"/>
    <w:rsid w:val="00F7434C"/>
    <w:rsid w:val="00F8260E"/>
    <w:rsid w:val="00F851F0"/>
    <w:rsid w:val="00F86814"/>
    <w:rsid w:val="00FA0636"/>
    <w:rsid w:val="00FA1A9B"/>
    <w:rsid w:val="00FA2BA8"/>
    <w:rsid w:val="00FA39E0"/>
    <w:rsid w:val="00FB0AC8"/>
    <w:rsid w:val="00FB6D0B"/>
    <w:rsid w:val="00FC2D6C"/>
    <w:rsid w:val="00FC32F2"/>
    <w:rsid w:val="00FC4AEC"/>
    <w:rsid w:val="00FF1CE9"/>
    <w:rsid w:val="00FF6D84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357A1F"/>
  <w15:chartTrackingRefBased/>
  <w15:docId w15:val="{C1208730-DFF9-468B-B52E-13B4455F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385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CE605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CE6053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552475"/>
    <w:rPr>
      <w:color w:val="0000FF"/>
      <w:u w:val="single"/>
    </w:rPr>
  </w:style>
  <w:style w:type="paragraph" w:customStyle="1" w:styleId="sche3">
    <w:name w:val="sche_3"/>
    <w:rsid w:val="00CA74C4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Oggetto">
    <w:name w:val="Oggetto"/>
    <w:basedOn w:val="Normale"/>
    <w:rsid w:val="00CA74C4"/>
    <w:pPr>
      <w:tabs>
        <w:tab w:val="left" w:pos="3969"/>
      </w:tabs>
      <w:ind w:left="993" w:hanging="993"/>
      <w:jc w:val="both"/>
    </w:pPr>
    <w:rPr>
      <w:rFonts w:ascii="Univers (WN)" w:hAnsi="Univers (WN)"/>
      <w:sz w:val="22"/>
      <w:szCs w:val="20"/>
      <w:u w:val="single"/>
    </w:rPr>
  </w:style>
  <w:style w:type="paragraph" w:styleId="Testofumetto">
    <w:name w:val="Balloon Text"/>
    <w:basedOn w:val="Normale"/>
    <w:semiHidden/>
    <w:rsid w:val="00E32733"/>
    <w:rPr>
      <w:rFonts w:ascii="Tahoma" w:hAnsi="Tahoma" w:cs="Tahoma"/>
      <w:sz w:val="16"/>
      <w:szCs w:val="16"/>
    </w:rPr>
  </w:style>
  <w:style w:type="character" w:styleId="Enfasigrassetto">
    <w:name w:val="Strong"/>
    <w:qFormat/>
    <w:rsid w:val="008A7AB2"/>
    <w:rPr>
      <w:b/>
      <w:bCs/>
    </w:rPr>
  </w:style>
  <w:style w:type="paragraph" w:styleId="Paragrafoelenco">
    <w:name w:val="List Paragraph"/>
    <w:basedOn w:val="Normale"/>
    <w:qFormat/>
    <w:rsid w:val="008E1B5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993"/>
    <w:rPr>
      <w:sz w:val="24"/>
      <w:szCs w:val="24"/>
    </w:rPr>
  </w:style>
  <w:style w:type="paragraph" w:customStyle="1" w:styleId="Testopredefinito">
    <w:name w:val="Testo predefinito"/>
    <w:basedOn w:val="Normale"/>
    <w:rsid w:val="00FA0636"/>
    <w:pPr>
      <w:overflowPunct w:val="0"/>
      <w:autoSpaceDE w:val="0"/>
      <w:autoSpaceDN w:val="0"/>
    </w:pPr>
    <w:rPr>
      <w:rFonts w:eastAsia="Calibri"/>
    </w:rPr>
  </w:style>
  <w:style w:type="paragraph" w:styleId="Puntoelenco2">
    <w:name w:val="List Bullet 2"/>
    <w:basedOn w:val="Normale"/>
    <w:autoRedefine/>
    <w:rsid w:val="007F050E"/>
    <w:pPr>
      <w:widowControl w:val="0"/>
      <w:tabs>
        <w:tab w:val="left" w:pos="1560"/>
        <w:tab w:val="left" w:pos="5670"/>
      </w:tabs>
      <w:spacing w:before="40" w:after="40"/>
      <w:ind w:left="1559" w:hanging="1559"/>
    </w:pPr>
    <w:rPr>
      <w:rFonts w:ascii="Arial" w:hAnsi="Arial" w:cs="Ari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admin</cp:lastModifiedBy>
  <cp:revision>4</cp:revision>
  <cp:lastPrinted>2020-02-20T16:05:00Z</cp:lastPrinted>
  <dcterms:created xsi:type="dcterms:W3CDTF">2020-05-04T07:22:00Z</dcterms:created>
  <dcterms:modified xsi:type="dcterms:W3CDTF">2020-05-04T07:39:00Z</dcterms:modified>
</cp:coreProperties>
</file>