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2FB60" w14:textId="77777777" w:rsidR="009A1F00" w:rsidRDefault="009A1F00" w:rsidP="00743A11">
      <w:pPr>
        <w:rPr>
          <w:i/>
          <w:iCs/>
        </w:rPr>
      </w:pPr>
    </w:p>
    <w:p w14:paraId="0888BFD1" w14:textId="77777777" w:rsidR="009A1F00" w:rsidRDefault="009A1F00" w:rsidP="00743A11">
      <w:pPr>
        <w:rPr>
          <w:i/>
          <w:iCs/>
        </w:rPr>
      </w:pPr>
    </w:p>
    <w:p w14:paraId="2ECCDCE6" w14:textId="32EA7A2E" w:rsidR="00743A11" w:rsidRPr="00743A11" w:rsidRDefault="009A4044" w:rsidP="00743A11">
      <w:pPr>
        <w:rPr>
          <w:i/>
          <w:iCs/>
        </w:rPr>
      </w:pPr>
      <w:r>
        <w:rPr>
          <w:i/>
          <w:iCs/>
        </w:rPr>
        <w:t>Genova</w:t>
      </w:r>
      <w:r w:rsidR="00743A11" w:rsidRPr="00743A11">
        <w:rPr>
          <w:i/>
          <w:iCs/>
        </w:rPr>
        <w:t>,</w:t>
      </w:r>
      <w:r w:rsidR="00643A2B">
        <w:rPr>
          <w:i/>
          <w:iCs/>
        </w:rPr>
        <w:t xml:space="preserve"> </w:t>
      </w:r>
      <w:r w:rsidR="006910A1">
        <w:rPr>
          <w:i/>
          <w:iCs/>
        </w:rPr>
        <w:t>3</w:t>
      </w:r>
      <w:r w:rsidR="004302C9">
        <w:rPr>
          <w:i/>
          <w:iCs/>
        </w:rPr>
        <w:t xml:space="preserve"> </w:t>
      </w:r>
      <w:r w:rsidR="00B25E1E">
        <w:rPr>
          <w:i/>
          <w:iCs/>
        </w:rPr>
        <w:t>agosto</w:t>
      </w:r>
      <w:r w:rsidR="00FC6E87">
        <w:rPr>
          <w:i/>
          <w:iCs/>
        </w:rPr>
        <w:t xml:space="preserve"> 2023</w:t>
      </w:r>
    </w:p>
    <w:p w14:paraId="04EFC39E" w14:textId="01335FDD" w:rsidR="001A29F1" w:rsidRDefault="001A29F1" w:rsidP="005C32D0">
      <w:pPr>
        <w:rPr>
          <w:b/>
          <w:bCs/>
          <w:u w:val="single"/>
        </w:rPr>
      </w:pPr>
    </w:p>
    <w:p w14:paraId="2AF157D6" w14:textId="77777777" w:rsidR="009A1F00" w:rsidRDefault="009A1F00" w:rsidP="005C32D0">
      <w:pPr>
        <w:rPr>
          <w:b/>
          <w:bCs/>
          <w:u w:val="single"/>
        </w:rPr>
      </w:pPr>
    </w:p>
    <w:p w14:paraId="028CA82D" w14:textId="07C36937" w:rsidR="00AA40B5" w:rsidRDefault="00743A11" w:rsidP="005C32D0">
      <w:pPr>
        <w:jc w:val="center"/>
        <w:rPr>
          <w:b/>
          <w:bCs/>
          <w:u w:val="single"/>
        </w:rPr>
      </w:pPr>
      <w:r w:rsidRPr="00743A11">
        <w:rPr>
          <w:b/>
          <w:bCs/>
          <w:u w:val="single"/>
        </w:rPr>
        <w:t>COMUNICATO STAMPA</w:t>
      </w:r>
    </w:p>
    <w:p w14:paraId="6EA811FF" w14:textId="40C74FDF" w:rsidR="009A1F00" w:rsidRDefault="009A1F00" w:rsidP="005C32D0">
      <w:pPr>
        <w:jc w:val="center"/>
        <w:rPr>
          <w:b/>
          <w:bCs/>
          <w:u w:val="single"/>
        </w:rPr>
      </w:pPr>
    </w:p>
    <w:p w14:paraId="394FF35B" w14:textId="77777777" w:rsidR="009A1F00" w:rsidRPr="005C32D0" w:rsidRDefault="009A1F00" w:rsidP="005C32D0">
      <w:pPr>
        <w:jc w:val="center"/>
        <w:rPr>
          <w:b/>
          <w:bCs/>
          <w:u w:val="single"/>
        </w:rPr>
      </w:pPr>
    </w:p>
    <w:p w14:paraId="3EB6D438" w14:textId="77777777" w:rsidR="001A29F1" w:rsidRDefault="001A29F1" w:rsidP="00743A11">
      <w:pPr>
        <w:jc w:val="center"/>
        <w:rPr>
          <w:b/>
          <w:bCs/>
        </w:rPr>
      </w:pPr>
    </w:p>
    <w:p w14:paraId="706D733B" w14:textId="77777777" w:rsidR="008C4AC1" w:rsidRPr="008C4AC1" w:rsidRDefault="008C4AC1" w:rsidP="008C4AC1">
      <w:pPr>
        <w:jc w:val="center"/>
        <w:rPr>
          <w:color w:val="3F3F3F"/>
          <w:sz w:val="32"/>
          <w:szCs w:val="32"/>
        </w:rPr>
      </w:pPr>
      <w:proofErr w:type="spellStart"/>
      <w:r w:rsidRPr="008C4AC1">
        <w:rPr>
          <w:color w:val="3F3F3F"/>
          <w:sz w:val="32"/>
          <w:szCs w:val="32"/>
        </w:rPr>
        <w:t>Falteri</w:t>
      </w:r>
      <w:proofErr w:type="spellEnd"/>
      <w:r w:rsidRPr="008C4AC1">
        <w:rPr>
          <w:color w:val="3F3F3F"/>
          <w:sz w:val="32"/>
          <w:szCs w:val="32"/>
        </w:rPr>
        <w:t xml:space="preserve"> (</w:t>
      </w:r>
      <w:proofErr w:type="spellStart"/>
      <w:r w:rsidRPr="008C4AC1">
        <w:rPr>
          <w:color w:val="3F3F3F"/>
          <w:sz w:val="32"/>
          <w:szCs w:val="32"/>
        </w:rPr>
        <w:t>Federlogistica</w:t>
      </w:r>
      <w:proofErr w:type="spellEnd"/>
      <w:r w:rsidRPr="008C4AC1">
        <w:rPr>
          <w:color w:val="3F3F3F"/>
          <w:sz w:val="32"/>
          <w:szCs w:val="32"/>
        </w:rPr>
        <w:t>): “Un unico codice di dialogo</w:t>
      </w:r>
    </w:p>
    <w:p w14:paraId="588C0DF0" w14:textId="31EA8B4E" w:rsidR="00DF39A4" w:rsidRDefault="008C4AC1" w:rsidP="008C4AC1">
      <w:pPr>
        <w:jc w:val="center"/>
        <w:rPr>
          <w:color w:val="3F3F3F"/>
          <w:sz w:val="32"/>
          <w:szCs w:val="32"/>
        </w:rPr>
      </w:pPr>
      <w:r w:rsidRPr="008C4AC1">
        <w:rPr>
          <w:color w:val="3F3F3F"/>
          <w:sz w:val="32"/>
          <w:szCs w:val="32"/>
        </w:rPr>
        <w:t xml:space="preserve"> per tutto il sistema logistico, oppure il Paese collasserà”</w:t>
      </w:r>
    </w:p>
    <w:p w14:paraId="6B71BF1D" w14:textId="77777777" w:rsidR="008C4AC1" w:rsidRDefault="008C4AC1" w:rsidP="008C4AC1">
      <w:pPr>
        <w:jc w:val="center"/>
        <w:rPr>
          <w:color w:val="3F3F3F"/>
          <w:sz w:val="32"/>
          <w:szCs w:val="32"/>
        </w:rPr>
      </w:pPr>
    </w:p>
    <w:p w14:paraId="09C6A9C7" w14:textId="77777777" w:rsidR="008C4AC1" w:rsidRPr="00841960" w:rsidRDefault="008C4AC1" w:rsidP="008C4AC1">
      <w:pPr>
        <w:rPr>
          <w:u w:val="single"/>
        </w:rPr>
      </w:pPr>
      <w:r w:rsidRPr="00841960">
        <w:rPr>
          <w:u w:val="single"/>
        </w:rPr>
        <w:t xml:space="preserve">Alla vigilia della presentazione dei progetti </w:t>
      </w:r>
      <w:r>
        <w:rPr>
          <w:u w:val="single"/>
        </w:rPr>
        <w:t xml:space="preserve">2024 </w:t>
      </w:r>
      <w:r w:rsidRPr="00841960">
        <w:rPr>
          <w:u w:val="single"/>
        </w:rPr>
        <w:t>del PNRR, l’interoperabilità dei sistemi informatici resta un’utopia</w:t>
      </w:r>
      <w:r>
        <w:rPr>
          <w:u w:val="single"/>
        </w:rPr>
        <w:t xml:space="preserve"> con decine di sistemi spesso pubblici che non comunicano fra loro e con il mercato</w:t>
      </w:r>
    </w:p>
    <w:p w14:paraId="25D299F0" w14:textId="77777777" w:rsidR="008C4AC1" w:rsidRDefault="008C4AC1" w:rsidP="008C4AC1">
      <w:pPr>
        <w:jc w:val="center"/>
        <w:rPr>
          <w:color w:val="3F3F3F"/>
          <w:sz w:val="32"/>
          <w:szCs w:val="32"/>
        </w:rPr>
      </w:pPr>
    </w:p>
    <w:p w14:paraId="6EBB4094" w14:textId="77777777" w:rsidR="008C4AC1" w:rsidRDefault="008C4AC1" w:rsidP="008C4AC1">
      <w:pPr>
        <w:jc w:val="center"/>
        <w:rPr>
          <w:color w:val="3F3F3F"/>
          <w:sz w:val="32"/>
          <w:szCs w:val="32"/>
        </w:rPr>
      </w:pPr>
    </w:p>
    <w:p w14:paraId="5CF846BA" w14:textId="77777777" w:rsidR="00DF39A4" w:rsidRPr="00DF39A4" w:rsidRDefault="00DF39A4" w:rsidP="00DF39A4">
      <w:pPr>
        <w:jc w:val="center"/>
        <w:rPr>
          <w:rFonts w:eastAsia="Times New Roman" w:cstheme="minorHAnsi"/>
          <w:color w:val="3F3F3F"/>
          <w:sz w:val="28"/>
          <w:szCs w:val="28"/>
          <w:u w:val="single"/>
          <w:lang w:eastAsia="it-CH"/>
        </w:rPr>
      </w:pPr>
    </w:p>
    <w:p w14:paraId="591AA6DD" w14:textId="77777777" w:rsidR="008C4AC1" w:rsidRPr="008C4AC1" w:rsidRDefault="008C4AC1" w:rsidP="008C4AC1">
      <w:pPr>
        <w:jc w:val="both"/>
        <w:rPr>
          <w:rFonts w:eastAsia="Times New Roman" w:cstheme="minorHAnsi"/>
          <w:color w:val="3F3F3F"/>
          <w:lang w:val="it-CH" w:eastAsia="it-CH"/>
        </w:rPr>
      </w:pPr>
      <w:r w:rsidRPr="008C4AC1">
        <w:rPr>
          <w:rFonts w:eastAsia="Times New Roman" w:cstheme="minorHAnsi"/>
          <w:color w:val="3F3F3F"/>
          <w:lang w:val="it-CH" w:eastAsia="it-CH"/>
        </w:rPr>
        <w:t>“Siamo tornati alla logica delle ferrovie di inizio secolo, con ogni Stato dotato di reti con binari a scartamento differente rispetto a quelli del Paese confinante. Solo che ora accade per i sistemi operativi che dovrebbero razionalizzare, rendere efficiente e regolare la logistica e quindi interi sistemi di trasporto. Per questi non solo non esiste una cabina di regia europea ma anche i singoli Stati stanno disperdendo le risorse in mille rivoli, progettando spesso sotto guida pubblica sistemi che non dialogano fra loro e che quindi da un lato, rifiutano le regole del gioco che dovrebbero essere dettate dal mercato, e dall’altro, disperdono risorse”.</w:t>
      </w:r>
    </w:p>
    <w:p w14:paraId="6E806212" w14:textId="79AAACC1" w:rsidR="008C4AC1" w:rsidRPr="008C4AC1" w:rsidRDefault="008C4AC1" w:rsidP="008C4AC1">
      <w:pPr>
        <w:jc w:val="both"/>
        <w:rPr>
          <w:rFonts w:eastAsia="Times New Roman" w:cstheme="minorHAnsi"/>
          <w:color w:val="3F3F3F"/>
          <w:lang w:val="it-CH" w:eastAsia="it-CH"/>
        </w:rPr>
      </w:pPr>
      <w:r w:rsidRPr="008C4AC1">
        <w:rPr>
          <w:rFonts w:eastAsia="Times New Roman" w:cstheme="minorHAnsi"/>
          <w:color w:val="3F3F3F"/>
          <w:lang w:val="it-CH" w:eastAsia="it-CH"/>
        </w:rPr>
        <w:t xml:space="preserve">La denuncia è di </w:t>
      </w:r>
      <w:proofErr w:type="spellStart"/>
      <w:r w:rsidRPr="008C4AC1">
        <w:rPr>
          <w:rFonts w:eastAsia="Times New Roman" w:cstheme="minorHAnsi"/>
          <w:color w:val="3F3F3F"/>
          <w:lang w:val="it-CH" w:eastAsia="it-CH"/>
        </w:rPr>
        <w:t>Federlogistica</w:t>
      </w:r>
      <w:proofErr w:type="spellEnd"/>
      <w:r w:rsidRPr="008C4AC1">
        <w:rPr>
          <w:rFonts w:eastAsia="Times New Roman" w:cstheme="minorHAnsi"/>
          <w:color w:val="3F3F3F"/>
          <w:lang w:val="it-CH" w:eastAsia="it-CH"/>
        </w:rPr>
        <w:t xml:space="preserve"> che, per voce del suo vicepresidente Davide </w:t>
      </w:r>
      <w:proofErr w:type="spellStart"/>
      <w:r w:rsidRPr="008C4AC1">
        <w:rPr>
          <w:rFonts w:eastAsia="Times New Roman" w:cstheme="minorHAnsi"/>
          <w:color w:val="3F3F3F"/>
          <w:lang w:val="it-CH" w:eastAsia="it-CH"/>
        </w:rPr>
        <w:t>Falteri</w:t>
      </w:r>
      <w:proofErr w:type="spellEnd"/>
      <w:r w:rsidRPr="008C4AC1">
        <w:rPr>
          <w:rFonts w:eastAsia="Times New Roman" w:cstheme="minorHAnsi"/>
          <w:color w:val="3F3F3F"/>
          <w:lang w:val="it-CH" w:eastAsia="it-CH"/>
        </w:rPr>
        <w:t xml:space="preserve">, per la prima volta in modo inequivocabile evidenzia i rischi derivanti da scelte che sono la negazione della cosiddetta interoperabilità dei sistemi informativi della supply chain. “Una supply chain – sottolinea </w:t>
      </w:r>
      <w:proofErr w:type="spellStart"/>
      <w:r w:rsidRPr="008C4AC1">
        <w:rPr>
          <w:rFonts w:eastAsia="Times New Roman" w:cstheme="minorHAnsi"/>
          <w:color w:val="3F3F3F"/>
          <w:lang w:val="it-CH" w:eastAsia="it-CH"/>
        </w:rPr>
        <w:t>Falteri</w:t>
      </w:r>
      <w:proofErr w:type="spellEnd"/>
      <w:r w:rsidRPr="008C4AC1">
        <w:rPr>
          <w:rFonts w:eastAsia="Times New Roman" w:cstheme="minorHAnsi"/>
          <w:color w:val="3F3F3F"/>
          <w:lang w:val="it-CH" w:eastAsia="it-CH"/>
        </w:rPr>
        <w:t xml:space="preserve"> – nella quale ognuno procede in maniera indipendente, i sistemi operativi anche più evoluti come i PCS (Port Community Systems) sono tutti incompleti e dove gli unici esempi di “dialogo” fra sistemi informatici sono forniti in modo parziale da progetti Interreg a raggio di azione limitato”.</w:t>
      </w:r>
    </w:p>
    <w:p w14:paraId="4E3F3B0F" w14:textId="139D4E5A" w:rsidR="008C4AC1" w:rsidRPr="008C4AC1" w:rsidRDefault="008C4AC1" w:rsidP="008C4AC1">
      <w:pPr>
        <w:jc w:val="both"/>
        <w:rPr>
          <w:rFonts w:eastAsia="Times New Roman" w:cstheme="minorHAnsi"/>
          <w:color w:val="3F3F3F"/>
          <w:lang w:val="it-CH" w:eastAsia="it-CH"/>
        </w:rPr>
      </w:pPr>
      <w:r w:rsidRPr="008C4AC1">
        <w:rPr>
          <w:rFonts w:eastAsia="Times New Roman" w:cstheme="minorHAnsi"/>
          <w:color w:val="3F3F3F"/>
          <w:lang w:val="it-CH" w:eastAsia="it-CH"/>
        </w:rPr>
        <w:t xml:space="preserve">E secondo il portavoce di </w:t>
      </w:r>
      <w:proofErr w:type="spellStart"/>
      <w:r w:rsidRPr="008C4AC1">
        <w:rPr>
          <w:rFonts w:eastAsia="Times New Roman" w:cstheme="minorHAnsi"/>
          <w:color w:val="3F3F3F"/>
          <w:lang w:val="it-CH" w:eastAsia="it-CH"/>
        </w:rPr>
        <w:t>Federlogistica</w:t>
      </w:r>
      <w:proofErr w:type="spellEnd"/>
      <w:r w:rsidRPr="008C4AC1">
        <w:rPr>
          <w:rFonts w:eastAsia="Times New Roman" w:cstheme="minorHAnsi"/>
          <w:color w:val="3F3F3F"/>
          <w:lang w:val="it-CH" w:eastAsia="it-CH"/>
        </w:rPr>
        <w:t xml:space="preserve"> il fatto che nel 2024 i progetti relativi all’interoperabilità dei sistemi logistici e di trasporto dovrebbero essere finanziati nell’ambito del PNRR, rischia “di trasformare un’opportunità in un fallimento destinato a ripercuotersi sull’efficienza del sistema di mobilità delle merci e quindi, di riflesso, anche del sistema produttivo del Paese che dipende da una logistica efficiente”.</w:t>
      </w:r>
    </w:p>
    <w:p w14:paraId="5DE4A57F" w14:textId="562EAE8E" w:rsidR="008C4AC1" w:rsidRDefault="00DE36AC" w:rsidP="008C4AC1">
      <w:pPr>
        <w:jc w:val="both"/>
        <w:rPr>
          <w:rFonts w:eastAsia="Times New Roman" w:cstheme="minorHAnsi"/>
          <w:color w:val="3F3F3F"/>
          <w:lang w:val="it-CH" w:eastAsia="it-CH"/>
        </w:rPr>
      </w:pPr>
      <w:r w:rsidRPr="00DE36AC">
        <w:rPr>
          <w:rFonts w:eastAsia="Times New Roman" w:cstheme="minorHAnsi"/>
          <w:color w:val="3F3F3F"/>
          <w:lang w:val="it-CH" w:eastAsia="it-CH"/>
        </w:rPr>
        <w:t xml:space="preserve">“L’esperienza di </w:t>
      </w:r>
      <w:proofErr w:type="spellStart"/>
      <w:r w:rsidRPr="00DE36AC">
        <w:rPr>
          <w:rFonts w:eastAsia="Times New Roman" w:cstheme="minorHAnsi"/>
          <w:color w:val="3F3F3F"/>
          <w:lang w:val="it-CH" w:eastAsia="it-CH"/>
        </w:rPr>
        <w:t>UIRNet</w:t>
      </w:r>
      <w:proofErr w:type="spellEnd"/>
      <w:r w:rsidRPr="00DE36AC">
        <w:rPr>
          <w:rFonts w:eastAsia="Times New Roman" w:cstheme="minorHAnsi"/>
          <w:color w:val="3F3F3F"/>
          <w:lang w:val="it-CH" w:eastAsia="it-CH"/>
        </w:rPr>
        <w:t xml:space="preserve"> è fallita, l’alternativa rappresentata dal trasferimento delle competenze per la digitalizzazione al Ministero dei Trasporti ha bisogno di un'accelerata per dare risposte all'intero comparto. </w:t>
      </w:r>
      <w:r w:rsidRPr="00DE36AC">
        <w:rPr>
          <w:rFonts w:eastAsia="Times New Roman" w:cstheme="minorHAnsi"/>
          <w:color w:val="3F3F3F"/>
          <w:lang w:val="it-CH" w:eastAsia="it-CH"/>
        </w:rPr>
        <w:t>È</w:t>
      </w:r>
      <w:r w:rsidRPr="00DE36AC">
        <w:rPr>
          <w:rFonts w:eastAsia="Times New Roman" w:cstheme="minorHAnsi"/>
          <w:color w:val="3F3F3F"/>
          <w:lang w:val="it-CH" w:eastAsia="it-CH"/>
        </w:rPr>
        <w:t xml:space="preserve"> fondamentale utilizzare in modo strategico al più presto i 250 milioni disponibili dal </w:t>
      </w:r>
      <w:r w:rsidRPr="00DE36AC">
        <w:rPr>
          <w:rFonts w:eastAsia="Times New Roman" w:cstheme="minorHAnsi"/>
          <w:color w:val="3F3F3F"/>
          <w:lang w:val="it-CH" w:eastAsia="it-CH"/>
        </w:rPr>
        <w:t>PNRR</w:t>
      </w:r>
      <w:r w:rsidRPr="00DE36AC">
        <w:rPr>
          <w:rFonts w:eastAsia="Times New Roman" w:cstheme="minorHAnsi"/>
          <w:color w:val="3F3F3F"/>
          <w:lang w:val="it-CH" w:eastAsia="it-CH"/>
        </w:rPr>
        <w:t xml:space="preserve">. – conclude </w:t>
      </w:r>
      <w:proofErr w:type="spellStart"/>
      <w:r w:rsidRPr="00DE36AC">
        <w:rPr>
          <w:rFonts w:eastAsia="Times New Roman" w:cstheme="minorHAnsi"/>
          <w:color w:val="3F3F3F"/>
          <w:lang w:val="it-CH" w:eastAsia="it-CH"/>
        </w:rPr>
        <w:t>Falteri</w:t>
      </w:r>
      <w:proofErr w:type="spellEnd"/>
      <w:r w:rsidRPr="00DE36AC">
        <w:rPr>
          <w:rFonts w:eastAsia="Times New Roman" w:cstheme="minorHAnsi"/>
          <w:color w:val="3F3F3F"/>
          <w:lang w:val="it-CH" w:eastAsia="it-CH"/>
        </w:rPr>
        <w:t xml:space="preserve"> - Lo sviluppo delle infrastrutture portuali deciso e avviato quest’anno </w:t>
      </w:r>
      <w:r w:rsidRPr="00DE36AC">
        <w:rPr>
          <w:rFonts w:eastAsia="Times New Roman" w:cstheme="minorHAnsi"/>
          <w:color w:val="3F3F3F"/>
          <w:lang w:val="it-CH" w:eastAsia="it-CH"/>
        </w:rPr>
        <w:lastRenderedPageBreak/>
        <w:t>rischia di trasformarsi in un boomerang se i porti non disporranno di un codice unico di dialogo con i retroporti, con i centri produttivi, con i sistemi e gli operatori logistici e ogni container in più che dovrà essere assorbito dal sistema logistico Italia potrebbe solo incrementare la non governabilità del sistema trasporti e della logistica italiana”.</w:t>
      </w:r>
    </w:p>
    <w:p w14:paraId="565D8622" w14:textId="77777777" w:rsidR="008C4AC1" w:rsidRPr="00EC528C" w:rsidRDefault="008C4AC1" w:rsidP="008C4AC1">
      <w:pPr>
        <w:jc w:val="both"/>
        <w:rPr>
          <w:rFonts w:eastAsia="Times New Roman" w:cstheme="minorHAnsi"/>
          <w:color w:val="3F3F3F"/>
          <w:lang w:eastAsia="it-CH"/>
        </w:rPr>
      </w:pPr>
    </w:p>
    <w:p w14:paraId="3B5B910C" w14:textId="77777777" w:rsidR="005C32D0" w:rsidRDefault="005C32D0" w:rsidP="00754306">
      <w:pPr>
        <w:rPr>
          <w:rFonts w:ascii="Arial" w:hAnsi="Arial" w:cs="Arial"/>
          <w:i/>
        </w:rPr>
      </w:pPr>
    </w:p>
    <w:p w14:paraId="20D6D711" w14:textId="3E366134" w:rsidR="00754306" w:rsidRPr="00430E43" w:rsidRDefault="00754306" w:rsidP="00754306">
      <w:pPr>
        <w:rPr>
          <w:rFonts w:ascii="Arial" w:hAnsi="Arial" w:cs="Arial"/>
          <w:i/>
          <w:sz w:val="22"/>
          <w:szCs w:val="22"/>
        </w:rPr>
      </w:pPr>
      <w:r w:rsidRPr="00430E43">
        <w:rPr>
          <w:rFonts w:ascii="Arial" w:hAnsi="Arial" w:cs="Arial"/>
          <w:i/>
          <w:sz w:val="22"/>
          <w:szCs w:val="22"/>
        </w:rPr>
        <w:t xml:space="preserve">Per ulteriori informazioni: </w:t>
      </w:r>
    </w:p>
    <w:p w14:paraId="6D057480" w14:textId="4741FD3C" w:rsidR="00754306" w:rsidRPr="004600BB" w:rsidRDefault="00754306" w:rsidP="00754306">
      <w:pPr>
        <w:rPr>
          <w:rFonts w:ascii="Arial" w:hAnsi="Arial" w:cs="Arial"/>
          <w:i/>
        </w:rPr>
      </w:pPr>
      <w:r w:rsidRPr="00732FA1">
        <w:rPr>
          <w:rFonts w:ascii="Arial" w:hAnsi="Arial" w:cs="Arial"/>
          <w:i/>
          <w:noProof/>
          <w:lang w:val="it-CH" w:eastAsia="it-CH"/>
        </w:rPr>
        <w:drawing>
          <wp:inline distT="0" distB="0" distL="0" distR="0" wp14:anchorId="5063D45D" wp14:editId="103B1FDC">
            <wp:extent cx="971550" cy="393700"/>
            <wp:effectExtent l="0" t="0" r="0" b="6350"/>
            <wp:docPr id="3" name="Immagine 3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tar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33DBA" w14:textId="77777777" w:rsidR="00754306" w:rsidRPr="00803AC4" w:rsidRDefault="00754306" w:rsidP="00754306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>Star comunicazione in movimento</w:t>
      </w:r>
    </w:p>
    <w:p w14:paraId="6573B959" w14:textId="77777777" w:rsidR="00754306" w:rsidRPr="00803AC4" w:rsidRDefault="00754306" w:rsidP="00754306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 xml:space="preserve">Barbara </w:t>
      </w:r>
      <w:proofErr w:type="spellStart"/>
      <w:r w:rsidRPr="00803AC4">
        <w:rPr>
          <w:rFonts w:ascii="Arial" w:hAnsi="Arial" w:cs="Arial"/>
          <w:sz w:val="20"/>
          <w:szCs w:val="20"/>
        </w:rPr>
        <w:t>Gazzale</w:t>
      </w:r>
      <w:proofErr w:type="spellEnd"/>
    </w:p>
    <w:p w14:paraId="239A6EB0" w14:textId="77777777" w:rsidR="00754306" w:rsidRPr="00803AC4" w:rsidRDefault="00754306" w:rsidP="00754306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>+39 348.4144780</w:t>
      </w:r>
    </w:p>
    <w:p w14:paraId="6033BC48" w14:textId="332AFBBD" w:rsidR="00133447" w:rsidRPr="00624B8C" w:rsidRDefault="00754306" w:rsidP="00624B8C">
      <w:pPr>
        <w:pStyle w:val="Nessunaspaziatura"/>
        <w:rPr>
          <w:b/>
          <w:bCs/>
        </w:rPr>
      </w:pPr>
      <w:r w:rsidRPr="00803AC4">
        <w:rPr>
          <w:rFonts w:ascii="Arial" w:hAnsi="Arial" w:cs="Arial"/>
          <w:sz w:val="20"/>
          <w:szCs w:val="20"/>
        </w:rPr>
        <w:t>www.starcomunicazione.com</w:t>
      </w:r>
    </w:p>
    <w:sectPr w:rsidR="00133447" w:rsidRPr="00624B8C" w:rsidSect="008406B3">
      <w:headerReference w:type="default" r:id="rId8"/>
      <w:footerReference w:type="default" r:id="rId9"/>
      <w:pgSz w:w="11906" w:h="16838"/>
      <w:pgMar w:top="1417" w:right="1134" w:bottom="1134" w:left="1134" w:header="568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DF679" w14:textId="77777777" w:rsidR="008A4DB4" w:rsidRDefault="008A4DB4" w:rsidP="00743A11">
      <w:r>
        <w:separator/>
      </w:r>
    </w:p>
  </w:endnote>
  <w:endnote w:type="continuationSeparator" w:id="0">
    <w:p w14:paraId="086A028B" w14:textId="77777777" w:rsidR="008A4DB4" w:rsidRDefault="008A4DB4" w:rsidP="0074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4DC3" w14:textId="77777777" w:rsidR="00743A11" w:rsidRDefault="00743A11" w:rsidP="00743A11">
    <w:pPr>
      <w:pStyle w:val="Pidipagina"/>
      <w:jc w:val="center"/>
    </w:pPr>
    <w:r>
      <w:t>aderente a</w:t>
    </w:r>
  </w:p>
  <w:p w14:paraId="3E5F0CF4" w14:textId="77777777" w:rsidR="00743A11" w:rsidRDefault="00743A11" w:rsidP="00743A11">
    <w:pPr>
      <w:pStyle w:val="Pidipagina"/>
      <w:jc w:val="center"/>
    </w:pPr>
    <w:r>
      <w:rPr>
        <w:rFonts w:ascii="Verdana" w:hAnsi="Verdana"/>
        <w:bCs/>
        <w:noProof/>
      </w:rPr>
      <w:drawing>
        <wp:inline distT="0" distB="0" distL="0" distR="0" wp14:anchorId="5F80C1AF" wp14:editId="699336A1">
          <wp:extent cx="810000" cy="856800"/>
          <wp:effectExtent l="0" t="0" r="3175" b="0"/>
          <wp:docPr id="5" name="Immagin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85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32473" w14:textId="77777777" w:rsidR="00743A11" w:rsidRDefault="00743A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32E56" w14:textId="77777777" w:rsidR="008A4DB4" w:rsidRDefault="008A4DB4" w:rsidP="00743A11">
      <w:r>
        <w:separator/>
      </w:r>
    </w:p>
  </w:footnote>
  <w:footnote w:type="continuationSeparator" w:id="0">
    <w:p w14:paraId="1910B1E3" w14:textId="77777777" w:rsidR="008A4DB4" w:rsidRDefault="008A4DB4" w:rsidP="00743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EBDA8" w14:textId="31101B80" w:rsidR="00743A11" w:rsidRDefault="00743A11" w:rsidP="00743A11">
    <w:pPr>
      <w:pStyle w:val="Intestazione"/>
      <w:jc w:val="center"/>
    </w:pPr>
    <w:r w:rsidRPr="00C8003D">
      <w:rPr>
        <w:rFonts w:ascii="Calibri Light" w:hAnsi="Calibri Light" w:cs="Calibri Light"/>
        <w:noProof/>
      </w:rPr>
      <w:drawing>
        <wp:inline distT="0" distB="0" distL="0" distR="0" wp14:anchorId="51FBD551" wp14:editId="453359C5">
          <wp:extent cx="1238400" cy="1238400"/>
          <wp:effectExtent l="0" t="0" r="6350" b="0"/>
          <wp:docPr id="4" name="Immagin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400" cy="12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25D32"/>
    <w:multiLevelType w:val="hybridMultilevel"/>
    <w:tmpl w:val="971693DC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33F73"/>
    <w:multiLevelType w:val="hybridMultilevel"/>
    <w:tmpl w:val="C5528948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694068">
    <w:abstractNumId w:val="1"/>
  </w:num>
  <w:num w:numId="2" w16cid:durableId="1288393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DD"/>
    <w:rsid w:val="0000760A"/>
    <w:rsid w:val="0001446B"/>
    <w:rsid w:val="00025411"/>
    <w:rsid w:val="0002638B"/>
    <w:rsid w:val="000378EA"/>
    <w:rsid w:val="00060D04"/>
    <w:rsid w:val="00084F14"/>
    <w:rsid w:val="000A71F9"/>
    <w:rsid w:val="000C7E4A"/>
    <w:rsid w:val="000D678E"/>
    <w:rsid w:val="000F76B6"/>
    <w:rsid w:val="00106084"/>
    <w:rsid w:val="00126A56"/>
    <w:rsid w:val="00133447"/>
    <w:rsid w:val="00141CCD"/>
    <w:rsid w:val="00152FF5"/>
    <w:rsid w:val="001A29F1"/>
    <w:rsid w:val="00202D98"/>
    <w:rsid w:val="0021312C"/>
    <w:rsid w:val="002140D6"/>
    <w:rsid w:val="00273BBA"/>
    <w:rsid w:val="00291AEB"/>
    <w:rsid w:val="002B3345"/>
    <w:rsid w:val="002F37AC"/>
    <w:rsid w:val="003009EF"/>
    <w:rsid w:val="00311964"/>
    <w:rsid w:val="003466D4"/>
    <w:rsid w:val="003563F5"/>
    <w:rsid w:val="003D0841"/>
    <w:rsid w:val="00402C0C"/>
    <w:rsid w:val="0041170E"/>
    <w:rsid w:val="00414441"/>
    <w:rsid w:val="00416EA2"/>
    <w:rsid w:val="004302C9"/>
    <w:rsid w:val="00430E43"/>
    <w:rsid w:val="00435D58"/>
    <w:rsid w:val="00437FB6"/>
    <w:rsid w:val="0044568B"/>
    <w:rsid w:val="0047672E"/>
    <w:rsid w:val="0048117D"/>
    <w:rsid w:val="00497E66"/>
    <w:rsid w:val="004C1D65"/>
    <w:rsid w:val="004C3DEB"/>
    <w:rsid w:val="004E0030"/>
    <w:rsid w:val="004F312E"/>
    <w:rsid w:val="004F5AF0"/>
    <w:rsid w:val="0050648C"/>
    <w:rsid w:val="0051552F"/>
    <w:rsid w:val="005601C1"/>
    <w:rsid w:val="005C32D0"/>
    <w:rsid w:val="005D21CA"/>
    <w:rsid w:val="00617109"/>
    <w:rsid w:val="00624B8C"/>
    <w:rsid w:val="00643A2B"/>
    <w:rsid w:val="00666D58"/>
    <w:rsid w:val="00667FD7"/>
    <w:rsid w:val="006910A1"/>
    <w:rsid w:val="006930DE"/>
    <w:rsid w:val="006C5DF8"/>
    <w:rsid w:val="00717203"/>
    <w:rsid w:val="00723815"/>
    <w:rsid w:val="00743A11"/>
    <w:rsid w:val="00754306"/>
    <w:rsid w:val="007750A4"/>
    <w:rsid w:val="00776265"/>
    <w:rsid w:val="007973A1"/>
    <w:rsid w:val="007977E3"/>
    <w:rsid w:val="00834B8F"/>
    <w:rsid w:val="008406B3"/>
    <w:rsid w:val="00843F4E"/>
    <w:rsid w:val="00844709"/>
    <w:rsid w:val="00870249"/>
    <w:rsid w:val="00871E35"/>
    <w:rsid w:val="008A4DB4"/>
    <w:rsid w:val="008A71F1"/>
    <w:rsid w:val="008C4AC1"/>
    <w:rsid w:val="008D0E96"/>
    <w:rsid w:val="008D3532"/>
    <w:rsid w:val="008D4C89"/>
    <w:rsid w:val="00950782"/>
    <w:rsid w:val="00980A77"/>
    <w:rsid w:val="00990302"/>
    <w:rsid w:val="009A1F00"/>
    <w:rsid w:val="009A4044"/>
    <w:rsid w:val="009D53FC"/>
    <w:rsid w:val="009E782F"/>
    <w:rsid w:val="00A319F4"/>
    <w:rsid w:val="00A401F9"/>
    <w:rsid w:val="00A420F7"/>
    <w:rsid w:val="00A77D8A"/>
    <w:rsid w:val="00A85FB1"/>
    <w:rsid w:val="00A9072C"/>
    <w:rsid w:val="00AA2388"/>
    <w:rsid w:val="00AA40B5"/>
    <w:rsid w:val="00AC6A0E"/>
    <w:rsid w:val="00AE2090"/>
    <w:rsid w:val="00AE4159"/>
    <w:rsid w:val="00AE614F"/>
    <w:rsid w:val="00AF6FEB"/>
    <w:rsid w:val="00B13914"/>
    <w:rsid w:val="00B14A91"/>
    <w:rsid w:val="00B25E1E"/>
    <w:rsid w:val="00B9611D"/>
    <w:rsid w:val="00BC1DD0"/>
    <w:rsid w:val="00BC3903"/>
    <w:rsid w:val="00BC7191"/>
    <w:rsid w:val="00C53924"/>
    <w:rsid w:val="00C81C71"/>
    <w:rsid w:val="00C832CD"/>
    <w:rsid w:val="00CA0143"/>
    <w:rsid w:val="00CB18E9"/>
    <w:rsid w:val="00CC2614"/>
    <w:rsid w:val="00CD62DD"/>
    <w:rsid w:val="00CE15CB"/>
    <w:rsid w:val="00D15267"/>
    <w:rsid w:val="00D429AC"/>
    <w:rsid w:val="00D56F4F"/>
    <w:rsid w:val="00D830A4"/>
    <w:rsid w:val="00DE36AC"/>
    <w:rsid w:val="00DF39A4"/>
    <w:rsid w:val="00E1525D"/>
    <w:rsid w:val="00E3461C"/>
    <w:rsid w:val="00E40263"/>
    <w:rsid w:val="00E9060E"/>
    <w:rsid w:val="00EA1444"/>
    <w:rsid w:val="00EC528C"/>
    <w:rsid w:val="00F37B0A"/>
    <w:rsid w:val="00F43D7A"/>
    <w:rsid w:val="00F46C81"/>
    <w:rsid w:val="00F52F48"/>
    <w:rsid w:val="00FB64DA"/>
    <w:rsid w:val="00FC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A258F"/>
  <w15:chartTrackingRefBased/>
  <w15:docId w15:val="{E2ECC2B3-B82F-4047-89F6-89F20F95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3A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3A11"/>
  </w:style>
  <w:style w:type="paragraph" w:styleId="Pidipagina">
    <w:name w:val="footer"/>
    <w:basedOn w:val="Normale"/>
    <w:link w:val="PidipaginaCarattere"/>
    <w:unhideWhenUsed/>
    <w:rsid w:val="00743A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43A11"/>
  </w:style>
  <w:style w:type="character" w:styleId="Collegamentoipertestuale">
    <w:name w:val="Hyperlink"/>
    <w:basedOn w:val="Carpredefinitoparagrafo"/>
    <w:uiPriority w:val="99"/>
    <w:unhideWhenUsed/>
    <w:rsid w:val="0013344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3447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54306"/>
    <w:rPr>
      <w:rFonts w:ascii="Calibri" w:eastAsia="Calibri" w:hAnsi="Calibri" w:cs="Times New Roman"/>
      <w:sz w:val="22"/>
      <w:szCs w:val="22"/>
      <w:lang w:val="it-CH"/>
    </w:rPr>
  </w:style>
  <w:style w:type="paragraph" w:styleId="NormaleWeb">
    <w:name w:val="Normal (Web)"/>
    <w:basedOn w:val="Normale"/>
    <w:uiPriority w:val="99"/>
    <w:unhideWhenUsed/>
    <w:rsid w:val="00437FB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  <w:style w:type="paragraph" w:styleId="Paragrafoelenco">
    <w:name w:val="List Paragraph"/>
    <w:basedOn w:val="Normale"/>
    <w:uiPriority w:val="34"/>
    <w:qFormat/>
    <w:rsid w:val="00C53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5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Ferretto</dc:creator>
  <cp:keywords/>
  <dc:description/>
  <cp:lastModifiedBy>Starcomunicazione</cp:lastModifiedBy>
  <cp:revision>7</cp:revision>
  <dcterms:created xsi:type="dcterms:W3CDTF">2023-08-01T12:16:00Z</dcterms:created>
  <dcterms:modified xsi:type="dcterms:W3CDTF">2023-08-02T13:56:00Z</dcterms:modified>
</cp:coreProperties>
</file>