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5D77" w14:textId="77777777" w:rsidR="00211674" w:rsidRDefault="00211674" w:rsidP="00EE72E2">
      <w:pPr>
        <w:suppressAutoHyphens w:val="0"/>
        <w:spacing w:line="235" w:lineRule="atLeast"/>
        <w:jc w:val="center"/>
        <w:textAlignment w:val="bottom"/>
        <w:rPr>
          <w:rFonts w:ascii="Book Antiqua" w:eastAsia="Times New Roman" w:hAnsi="Book Antiqua"/>
          <w:b/>
          <w:bCs/>
          <w:color w:val="222222"/>
          <w:sz w:val="24"/>
          <w:szCs w:val="24"/>
        </w:rPr>
      </w:pPr>
    </w:p>
    <w:p w14:paraId="1FAD4F59" w14:textId="5DACB323" w:rsidR="00EE72E2" w:rsidRPr="00690C76" w:rsidRDefault="00EE72E2" w:rsidP="000D6D7E">
      <w:pPr>
        <w:tabs>
          <w:tab w:val="left" w:pos="284"/>
        </w:tabs>
        <w:suppressAutoHyphens w:val="0"/>
        <w:spacing w:line="235" w:lineRule="atLeast"/>
        <w:ind w:left="284" w:right="168" w:hanging="284"/>
        <w:jc w:val="center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IT"/>
        </w:rPr>
      </w:pPr>
      <w:r w:rsidRP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>COMUNICATO STAMPA</w:t>
      </w:r>
      <w:r w:rsid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br/>
      </w:r>
    </w:p>
    <w:p w14:paraId="6A75C335" w14:textId="3A7D16D4" w:rsidR="004D4E25" w:rsidRPr="000D6D7E" w:rsidRDefault="004D4E25" w:rsidP="000D6D7E">
      <w:pPr>
        <w:tabs>
          <w:tab w:val="left" w:pos="284"/>
        </w:tabs>
        <w:suppressAutoHyphens w:val="0"/>
        <w:spacing w:line="235" w:lineRule="atLeast"/>
        <w:ind w:left="284" w:right="168" w:hanging="284"/>
        <w:jc w:val="center"/>
        <w:textAlignment w:val="bottom"/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</w:pPr>
      <w:proofErr w:type="spellStart"/>
      <w:r w:rsidRP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>Dall’AdSP</w:t>
      </w:r>
      <w:proofErr w:type="spellEnd"/>
      <w:r w:rsidRP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 xml:space="preserve"> del Mare di Sicilia </w:t>
      </w:r>
      <w:r w:rsid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>O</w:t>
      </w:r>
      <w:r w:rsidRP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>ccidentale un contributo alla strategia UE per le isole</w:t>
      </w:r>
    </w:p>
    <w:p w14:paraId="0E4C8BF4" w14:textId="71F355B4" w:rsidR="004D4E25" w:rsidRPr="000D6D7E" w:rsidRDefault="004D4E25" w:rsidP="000D6D7E">
      <w:pPr>
        <w:tabs>
          <w:tab w:val="left" w:pos="284"/>
        </w:tabs>
        <w:suppressAutoHyphens w:val="0"/>
        <w:spacing w:line="235" w:lineRule="atLeast"/>
        <w:ind w:left="284" w:right="168" w:hanging="284"/>
        <w:jc w:val="center"/>
        <w:textAlignment w:val="bottom"/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</w:pPr>
      <w:r w:rsidRP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>Presentate le proposte</w:t>
      </w:r>
    </w:p>
    <w:p w14:paraId="1D416664" w14:textId="77777777" w:rsidR="000D6D7E" w:rsidRPr="000D6D7E" w:rsidRDefault="000D6D7E" w:rsidP="000D6D7E">
      <w:pPr>
        <w:suppressAutoHyphens w:val="0"/>
        <w:spacing w:line="235" w:lineRule="atLeast"/>
        <w:ind w:left="284"/>
        <w:jc w:val="center"/>
        <w:textAlignment w:val="bottom"/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</w:pPr>
    </w:p>
    <w:p w14:paraId="1FD936D8" w14:textId="4648F1E4" w:rsidR="000D6D7E" w:rsidRDefault="00EE72E2" w:rsidP="000D6D7E">
      <w:pPr>
        <w:suppressAutoHyphens w:val="0"/>
        <w:spacing w:line="276" w:lineRule="auto"/>
        <w:ind w:left="284" w:right="566"/>
        <w:jc w:val="both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CH"/>
        </w:rPr>
      </w:pP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Si è chiusa ieri la consultazione pubblica promossa dalla Commissione europea per la definizione della nuova 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“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Strategia europea per le isole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”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e delle relative priorità di intervento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, che il commissario europeo per la politica regionale e di coesione, Raffaele Fitto, presenterà entro giugno.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Il piano punterà a </w:t>
      </w:r>
      <w:r w:rsidR="004D4E25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rinforzare la competitività</w:t>
      </w:r>
      <w:r w:rsid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</w:t>
      </w:r>
      <w:r w:rsidR="004D4E25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economica e l’attrattività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delle isole europee.  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ab/>
        <w:t xml:space="preserve">   </w:t>
      </w:r>
    </w:p>
    <w:p w14:paraId="76ACD787" w14:textId="77777777" w:rsidR="000D6D7E" w:rsidRDefault="00EE72E2" w:rsidP="000D6D7E">
      <w:pPr>
        <w:suppressAutoHyphens w:val="0"/>
        <w:spacing w:line="276" w:lineRule="auto"/>
        <w:ind w:left="284" w:right="566"/>
        <w:jc w:val="both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CH"/>
        </w:rPr>
      </w:pP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Anche l’Autorità di Sistema portuale del Mare di Sicilia occidentale ha partecipato attivamente al processo, avanzando una serie di proposte a sostegno dell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’i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nsularità, 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utili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per </w:t>
      </w:r>
      <w:r w:rsidR="004D4E25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fortificare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il ruolo strategico de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gli scali ne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l sistema dei trasporti.</w:t>
      </w:r>
    </w:p>
    <w:p w14:paraId="3FC1F599" w14:textId="79CF568C" w:rsidR="000D6D7E" w:rsidRDefault="00EE72E2" w:rsidP="000D6D7E">
      <w:pPr>
        <w:suppressAutoHyphens w:val="0"/>
        <w:spacing w:line="276" w:lineRule="auto"/>
        <w:ind w:left="284" w:right="566"/>
        <w:jc w:val="both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CH"/>
        </w:rPr>
      </w:pP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I porti, infatti, rappresentano nodi essenziali in cui convergono mobilità, energia, sicurezza, turismo e industria. Rafforzarne l’efficienza e l’interoperabilità è fondamentale per accrescere la competitività dell’isola e posizionarla come </w:t>
      </w:r>
      <w:r w:rsidRPr="000D6D7E">
        <w:rPr>
          <w:rFonts w:ascii="Book Antiqua" w:eastAsia="Times New Roman" w:hAnsi="Book Antiqua"/>
          <w:i/>
          <w:iCs/>
          <w:color w:val="222222"/>
          <w:sz w:val="24"/>
          <w:szCs w:val="24"/>
          <w:lang w:val="it-CH"/>
        </w:rPr>
        <w:t>hub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strategico nel Mediterraneo. Per la Sicilia, 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infatti,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la connettività marittima non è un’opzione, ma una condizione essenziale per garantire accessibilità e continuità economica con l’Unione europea. L’obiettivo strategico è trasformare i porti siciliani da semplici punti di transito a nodi chiave delle reti euro-mediterranee, promuovendo una crescita coordinata 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di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infrastrutture, turismo, industria e sviluppo urbano.</w:t>
      </w:r>
      <w:r w:rsidR="006D42D9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Il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sistema portuale siciliano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, inoltre,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evidenzia la duplice funzione 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di porta di a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ccesso alla terraferma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e di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garant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e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della connettività 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per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le isole minori circostanti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: c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iò genera condizioni operative ed economiche complesse per i servizi marittimi, chiamati a garantire continuità durante tutto l’anno, nonostante la domanda variabile e le crescenti pressioni regolatorie.</w:t>
      </w:r>
    </w:p>
    <w:p w14:paraId="74D8993D" w14:textId="77777777" w:rsidR="000D6D7E" w:rsidRDefault="00EE72E2" w:rsidP="000D6D7E">
      <w:pPr>
        <w:suppressAutoHyphens w:val="0"/>
        <w:spacing w:line="276" w:lineRule="auto"/>
        <w:ind w:left="284" w:right="566"/>
        <w:jc w:val="both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CH"/>
        </w:rPr>
      </w:pP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L’Autorità ha proposto, pertanto, adeguamenti mirati delle politiche, tra cui il</w:t>
      </w:r>
      <w:r w:rsid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riconoscimento dei porti come elementi centrali della coesione territoriale, l’introduzione di correttivi ETS per le rotte da e per le grandi isole, l’estensione delle deroghe per le isole minori, proprio con l’intento di evitare effetti penalizzanti sui territori insulari, e l’istituzione di linee di finanziamento dedicate nell’ambito d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el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TEN-T. </w:t>
      </w:r>
    </w:p>
    <w:p w14:paraId="337B9E29" w14:textId="77777777" w:rsidR="000D6D7E" w:rsidRDefault="00EE72E2" w:rsidP="000D6D7E">
      <w:pPr>
        <w:suppressAutoHyphens w:val="0"/>
        <w:spacing w:line="276" w:lineRule="auto"/>
        <w:ind w:left="284" w:right="566"/>
        <w:jc w:val="both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CH"/>
        </w:rPr>
      </w:pP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lastRenderedPageBreak/>
        <w:t xml:space="preserve">Le principali sfide riguardano la garanzia di una connettività marittima equa, la tutela della competitività delle economie insulari e il riconoscimento dei porti come </w:t>
      </w:r>
      <w:r w:rsidRPr="000D6D7E">
        <w:rPr>
          <w:rFonts w:ascii="Book Antiqua" w:eastAsia="Times New Roman" w:hAnsi="Book Antiqua"/>
          <w:i/>
          <w:iCs/>
          <w:color w:val="222222"/>
          <w:sz w:val="24"/>
          <w:szCs w:val="24"/>
          <w:lang w:val="it-CH"/>
        </w:rPr>
        <w:t>gateway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digitali per scambi sicuri ed efficienti. Infine, la strategia deve affrontare anche le dimensioni sociali, in particolare il fenomeno dell’emigrazione giovanile, determinato dalla limitata disponibilità di opportunità economiche e dagli elevati costi. </w:t>
      </w:r>
    </w:p>
    <w:p w14:paraId="70DF4C42" w14:textId="0912DB81" w:rsidR="00EE72E2" w:rsidRPr="00690C76" w:rsidRDefault="00EE72E2" w:rsidP="000D6D7E">
      <w:pPr>
        <w:suppressAutoHyphens w:val="0"/>
        <w:spacing w:line="276" w:lineRule="auto"/>
        <w:ind w:left="284" w:right="566"/>
        <w:jc w:val="both"/>
        <w:textAlignment w:val="bottom"/>
        <w:rPr>
          <w:rFonts w:ascii="Book Antiqua" w:eastAsia="Times New Roman" w:hAnsi="Book Antiqua"/>
          <w:color w:val="222222"/>
          <w:sz w:val="24"/>
          <w:szCs w:val="24"/>
          <w:lang w:val="it-IT"/>
        </w:rPr>
      </w:pP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“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L’Autorità - 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ha commentato il president</w:t>
      </w:r>
      <w:r w:rsidR="003E125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e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dell’AdSP </w:t>
      </w:r>
      <w:r w:rsidRPr="000D6D7E">
        <w:rPr>
          <w:rFonts w:ascii="Book Antiqua" w:eastAsia="Times New Roman" w:hAnsi="Book Antiqua"/>
          <w:b/>
          <w:bCs/>
          <w:color w:val="222222"/>
          <w:sz w:val="24"/>
          <w:szCs w:val="24"/>
          <w:lang w:val="it-CH"/>
        </w:rPr>
        <w:t>Annalisa Tardino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 - sostiene con forza l’iniziativa della Commissione europea per la definizione di una </w:t>
      </w:r>
      <w:r w:rsidR="00690C76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“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Strategia per le isole</w:t>
      </w:r>
      <w:r w:rsidR="00690C76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”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, evidenziando gli svantaggi strutturali che caratterizzano le regioni insulari, tra cui maggiori costi logistici, vulnerabilità economica e dipendenza dal trasporto marittimo. Chiediamo anche il riconoscimento formale delle </w:t>
      </w:r>
      <w:r w:rsidR="00690C76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a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utorità di sistema portuale quali attori istituzionali chiave nei processi di </w:t>
      </w:r>
      <w:r w:rsidRPr="000D6D7E">
        <w:rPr>
          <w:rFonts w:ascii="Book Antiqua" w:eastAsia="Times New Roman" w:hAnsi="Book Antiqua"/>
          <w:i/>
          <w:iCs/>
          <w:color w:val="222222"/>
          <w:sz w:val="24"/>
          <w:szCs w:val="24"/>
          <w:lang w:val="it-CH"/>
        </w:rPr>
        <w:t>governance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. 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Ritengo che l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a partecipazione a questa consultazione rappresent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i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un passaggio importante per far emergere con chiarezza le esigenze specifiche dei territori insulari. I nostri porti svolgono una funzione vitale non solo sotto il profilo logistico, ma anche economico e sociale</w:t>
      </w:r>
      <w:r w:rsidR="00643311"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>: è necessario</w:t>
      </w:r>
      <w:r w:rsidRPr="000D6D7E">
        <w:rPr>
          <w:rFonts w:ascii="Book Antiqua" w:eastAsia="Times New Roman" w:hAnsi="Book Antiqua"/>
          <w:color w:val="222222"/>
          <w:sz w:val="24"/>
          <w:szCs w:val="24"/>
          <w:lang w:val="it-CH"/>
        </w:rPr>
        <w:t xml:space="preserve"> che le politiche europee tengano conto delle peculiarità delle isole, garantendo condizioni di reale equità competitiva”.</w:t>
      </w:r>
    </w:p>
    <w:p w14:paraId="7164F016" w14:textId="77777777" w:rsidR="00EE72E2" w:rsidRPr="000D6D7E" w:rsidRDefault="00EE72E2" w:rsidP="000D6D7E">
      <w:pPr>
        <w:ind w:left="284"/>
        <w:jc w:val="center"/>
        <w:rPr>
          <w:rFonts w:ascii="Book Antiqua" w:hAnsi="Book Antiqua" w:cs="Arial"/>
          <w:b/>
          <w:color w:val="222222"/>
          <w:sz w:val="24"/>
          <w:szCs w:val="24"/>
          <w:shd w:val="clear" w:color="auto" w:fill="FFFFFF"/>
          <w:lang w:val="it-CH"/>
        </w:rPr>
      </w:pPr>
    </w:p>
    <w:p w14:paraId="2E5F54B4" w14:textId="7C3DEEB7" w:rsidR="005D4E37" w:rsidRDefault="007D06AE" w:rsidP="000D6D7E">
      <w:pPr>
        <w:ind w:left="284"/>
        <w:jc w:val="both"/>
        <w:rPr>
          <w:rFonts w:ascii="Book Antiqua" w:hAnsi="Book Antiqua" w:cs="Arial"/>
          <w:b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/>
          <w:color w:val="222222"/>
          <w:sz w:val="24"/>
          <w:szCs w:val="24"/>
          <w:shd w:val="clear" w:color="auto" w:fill="FFFFFF"/>
          <w:lang w:val="it-CH"/>
        </w:rPr>
        <w:t>Palermo, 2 aprile</w:t>
      </w:r>
      <w:r w:rsidR="005D4E37" w:rsidRPr="000D6D7E">
        <w:rPr>
          <w:rFonts w:ascii="Book Antiqua" w:hAnsi="Book Antiqua" w:cs="Arial"/>
          <w:b/>
          <w:color w:val="222222"/>
          <w:sz w:val="24"/>
          <w:szCs w:val="24"/>
          <w:shd w:val="clear" w:color="auto" w:fill="FFFFFF"/>
          <w:lang w:val="it-CH"/>
        </w:rPr>
        <w:t xml:space="preserve"> 2026</w:t>
      </w:r>
    </w:p>
    <w:p w14:paraId="4A2D7B24" w14:textId="2DF6DD3C" w:rsidR="000D6D7E" w:rsidRPr="000D6D7E" w:rsidRDefault="000D6D7E" w:rsidP="000D6D7E">
      <w:pPr>
        <w:ind w:left="284"/>
        <w:jc w:val="both"/>
        <w:rPr>
          <w:rFonts w:ascii="Book Antiqua" w:hAnsi="Book Antiqua" w:cs="Arial"/>
          <w:b/>
          <w:color w:val="222222"/>
          <w:sz w:val="24"/>
          <w:szCs w:val="24"/>
          <w:shd w:val="clear" w:color="auto" w:fill="FFFFFF"/>
          <w:lang w:val="it-CH"/>
        </w:rPr>
      </w:pPr>
      <w:r>
        <w:rPr>
          <w:rFonts w:ascii="Book Antiqua" w:hAnsi="Book Antiqua" w:cs="Arial"/>
          <w:b/>
          <w:color w:val="222222"/>
          <w:sz w:val="24"/>
          <w:szCs w:val="24"/>
          <w:shd w:val="clear" w:color="auto" w:fill="FFFFFF"/>
          <w:lang w:val="it-CH"/>
        </w:rPr>
        <w:br/>
        <w:t>Per ulteriori informazioni:</w:t>
      </w:r>
    </w:p>
    <w:p w14:paraId="364883A4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>Star comunicazione in movimento</w:t>
      </w:r>
    </w:p>
    <w:p w14:paraId="16EEFA3B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>Barbara Gazzale</w:t>
      </w:r>
    </w:p>
    <w:p w14:paraId="69026021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 xml:space="preserve">+39 348 4144780 </w:t>
      </w:r>
    </w:p>
    <w:p w14:paraId="1B2EC2C2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>+41 786433361</w:t>
      </w:r>
    </w:p>
    <w:p w14:paraId="6BF24E1D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</w:p>
    <w:p w14:paraId="49AB8CDF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>Ufficio stampa AdSP del Mare di Sicilia Occidentale</w:t>
      </w:r>
    </w:p>
    <w:p w14:paraId="554814DC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 xml:space="preserve">Antonella Filippi </w:t>
      </w:r>
    </w:p>
    <w:p w14:paraId="4955318F" w14:textId="77777777" w:rsidR="000D6D7E" w:rsidRPr="000D6D7E" w:rsidRDefault="000D6D7E" w:rsidP="000D6D7E">
      <w:pPr>
        <w:ind w:left="284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</w:pPr>
      <w:r w:rsidRPr="000D6D7E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it-CH"/>
        </w:rPr>
        <w:t>+39 339 4242177</w:t>
      </w:r>
    </w:p>
    <w:p w14:paraId="4427B2F0" w14:textId="77777777" w:rsidR="007D1222" w:rsidRDefault="007D1222" w:rsidP="000D6D7E">
      <w:pPr>
        <w:ind w:left="284"/>
        <w:jc w:val="both"/>
        <w:rPr>
          <w:rFonts w:ascii="Book Antiqua" w:hAnsi="Book Antiqua" w:cs="Arial"/>
          <w:b/>
          <w:color w:val="222222"/>
          <w:sz w:val="28"/>
          <w:szCs w:val="28"/>
          <w:shd w:val="clear" w:color="auto" w:fill="FFFFFF"/>
        </w:rPr>
      </w:pPr>
    </w:p>
    <w:sectPr w:rsidR="007D1222" w:rsidSect="000D6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9" w:right="1191" w:bottom="1843" w:left="1191" w:header="567" w:footer="454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9077" w14:textId="77777777" w:rsidR="00C552F3" w:rsidRDefault="00C552F3">
      <w:pPr>
        <w:spacing w:after="0" w:line="240" w:lineRule="auto"/>
      </w:pPr>
      <w:r>
        <w:separator/>
      </w:r>
    </w:p>
  </w:endnote>
  <w:endnote w:type="continuationSeparator" w:id="0">
    <w:p w14:paraId="1DA08674" w14:textId="77777777" w:rsidR="00C552F3" w:rsidRDefault="00C5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47AE" w14:textId="77777777" w:rsidR="00937B8E" w:rsidRDefault="00937B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DDBF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val="it-IT"/>
      </w:rPr>
      <w:drawing>
        <wp:anchor distT="0" distB="0" distL="114300" distR="114300" simplePos="0" relativeHeight="251659776" behindDoc="1" locked="0" layoutInCell="0" allowOverlap="1" wp14:anchorId="0796FA6E" wp14:editId="46120B7A">
          <wp:simplePos x="0" y="0"/>
          <wp:positionH relativeFrom="column">
            <wp:posOffset>3810</wp:posOffset>
          </wp:positionH>
          <wp:positionV relativeFrom="paragraph">
            <wp:posOffset>-629920</wp:posOffset>
          </wp:positionV>
          <wp:extent cx="1838325" cy="952500"/>
          <wp:effectExtent l="0" t="0" r="0" b="0"/>
          <wp:wrapSquare wrapText="bothSides"/>
          <wp:docPr id="170011836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D5DD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6EE8BDF5" wp14:editId="71CC4694">
          <wp:extent cx="1247775" cy="647700"/>
          <wp:effectExtent l="0" t="0" r="0" b="0"/>
          <wp:docPr id="1803408893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7EAB" w14:textId="77777777" w:rsidR="00C552F3" w:rsidRDefault="00C552F3">
      <w:pPr>
        <w:spacing w:after="0" w:line="240" w:lineRule="auto"/>
      </w:pPr>
      <w:r>
        <w:separator/>
      </w:r>
    </w:p>
  </w:footnote>
  <w:footnote w:type="continuationSeparator" w:id="0">
    <w:p w14:paraId="740A743D" w14:textId="77777777" w:rsidR="00C552F3" w:rsidRDefault="00C5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AE13" w14:textId="77777777" w:rsidR="00937B8E" w:rsidRDefault="00937B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DF7B" w14:textId="77777777" w:rsidR="00937B8E" w:rsidRDefault="00937B8E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3BE9" w14:textId="77777777" w:rsidR="00937B8E" w:rsidRDefault="0047069B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it-IT"/>
      </w:rPr>
      <w:drawing>
        <wp:inline distT="0" distB="0" distL="0" distR="0" wp14:anchorId="3D4F2608" wp14:editId="2072CB2A">
          <wp:extent cx="3594100" cy="1066800"/>
          <wp:effectExtent l="0" t="0" r="0" b="0"/>
          <wp:docPr id="1882156271" name="Immagine 188215627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8E"/>
    <w:rsid w:val="00010E6B"/>
    <w:rsid w:val="000176AD"/>
    <w:rsid w:val="00070EE4"/>
    <w:rsid w:val="00074A12"/>
    <w:rsid w:val="000D6D7E"/>
    <w:rsid w:val="00166B5B"/>
    <w:rsid w:val="001A6B8B"/>
    <w:rsid w:val="00211674"/>
    <w:rsid w:val="002209EF"/>
    <w:rsid w:val="00223611"/>
    <w:rsid w:val="0023021C"/>
    <w:rsid w:val="00245762"/>
    <w:rsid w:val="002C1EDE"/>
    <w:rsid w:val="00316DC0"/>
    <w:rsid w:val="0035573C"/>
    <w:rsid w:val="003E1251"/>
    <w:rsid w:val="003F4C38"/>
    <w:rsid w:val="003F5474"/>
    <w:rsid w:val="00414DA1"/>
    <w:rsid w:val="0042503F"/>
    <w:rsid w:val="00450456"/>
    <w:rsid w:val="0047069B"/>
    <w:rsid w:val="004B246F"/>
    <w:rsid w:val="004B482B"/>
    <w:rsid w:val="004D4E25"/>
    <w:rsid w:val="0051010D"/>
    <w:rsid w:val="00581160"/>
    <w:rsid w:val="005927FB"/>
    <w:rsid w:val="005D4E37"/>
    <w:rsid w:val="005D6BF8"/>
    <w:rsid w:val="005F6A38"/>
    <w:rsid w:val="00643311"/>
    <w:rsid w:val="00690C76"/>
    <w:rsid w:val="006D42D9"/>
    <w:rsid w:val="006D69AC"/>
    <w:rsid w:val="00754E27"/>
    <w:rsid w:val="007825AD"/>
    <w:rsid w:val="007C7C87"/>
    <w:rsid w:val="007D06AE"/>
    <w:rsid w:val="007D1222"/>
    <w:rsid w:val="00816C35"/>
    <w:rsid w:val="00826596"/>
    <w:rsid w:val="008B6173"/>
    <w:rsid w:val="008F2F10"/>
    <w:rsid w:val="00934E72"/>
    <w:rsid w:val="00937B8E"/>
    <w:rsid w:val="009475EB"/>
    <w:rsid w:val="009832B1"/>
    <w:rsid w:val="009A73AD"/>
    <w:rsid w:val="00A00BA8"/>
    <w:rsid w:val="00A75217"/>
    <w:rsid w:val="00A80B75"/>
    <w:rsid w:val="00B3079C"/>
    <w:rsid w:val="00B35F7E"/>
    <w:rsid w:val="00B648E1"/>
    <w:rsid w:val="00B664EA"/>
    <w:rsid w:val="00C443AE"/>
    <w:rsid w:val="00C552F3"/>
    <w:rsid w:val="00C81C46"/>
    <w:rsid w:val="00C91E93"/>
    <w:rsid w:val="00CA4489"/>
    <w:rsid w:val="00CC61B6"/>
    <w:rsid w:val="00D60C1C"/>
    <w:rsid w:val="00DA230D"/>
    <w:rsid w:val="00E7388E"/>
    <w:rsid w:val="00EE72E2"/>
    <w:rsid w:val="00F14828"/>
    <w:rsid w:val="00F252DD"/>
    <w:rsid w:val="00F33D85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FA0D4"/>
  <w15:docId w15:val="{A7CB43B6-8D0A-46B9-8EB5-00AE529A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A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D65D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65D2"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2A613B"/>
    <w:rPr>
      <w:rFonts w:ascii="Arial" w:eastAsia="Times New Roman" w:hAnsi="Arial" w:cs="Times New Roman"/>
      <w:spacing w:val="-5"/>
      <w:sz w:val="20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qFormat/>
    <w:rsid w:val="002A613B"/>
    <w:rPr>
      <w:rFonts w:ascii="Arial" w:eastAsia="Times New Roman" w:hAnsi="Arial" w:cs="Times New Roman"/>
      <w:szCs w:val="20"/>
      <w:lang w:eastAsia="it-IT"/>
    </w:rPr>
  </w:style>
  <w:style w:type="character" w:customStyle="1" w:styleId="Etichettablocco">
    <w:name w:val="Etichetta blocco"/>
    <w:qFormat/>
    <w:rsid w:val="002A613B"/>
    <w:rPr>
      <w:b/>
      <w:bCs w:val="0"/>
      <w:caps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2A613B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D65D2"/>
    <w:pPr>
      <w:tabs>
        <w:tab w:val="center" w:pos="4819"/>
        <w:tab w:val="right" w:pos="9638"/>
      </w:tabs>
      <w:spacing w:after="0" w:line="240" w:lineRule="auto"/>
    </w:pPr>
  </w:style>
  <w:style w:type="paragraph" w:styleId="Intestazionemessaggio">
    <w:name w:val="Message Header"/>
    <w:basedOn w:val="Corpotesto"/>
    <w:link w:val="IntestazionemessaggioCarattere"/>
    <w:semiHidden/>
    <w:unhideWhenUsed/>
    <w:qFormat/>
    <w:rsid w:val="002A613B"/>
    <w:pPr>
      <w:keepLines/>
      <w:tabs>
        <w:tab w:val="left" w:pos="3600"/>
        <w:tab w:val="left" w:pos="4680"/>
      </w:tabs>
      <w:spacing w:after="120" w:line="280" w:lineRule="exact"/>
      <w:ind w:left="1080" w:hanging="1080"/>
      <w:jc w:val="left"/>
    </w:pPr>
    <w:rPr>
      <w:spacing w:val="0"/>
      <w:sz w:val="22"/>
    </w:rPr>
  </w:style>
  <w:style w:type="paragraph" w:customStyle="1" w:styleId="Pagine">
    <w:name w:val="Pagine"/>
    <w:basedOn w:val="Corpotesto"/>
    <w:next w:val="Titolo1"/>
    <w:qFormat/>
    <w:rsid w:val="002A613B"/>
    <w:pPr>
      <w:spacing w:after="120" w:line="280" w:lineRule="exact"/>
      <w:jc w:val="left"/>
    </w:pPr>
    <w:rPr>
      <w:spacing w:val="0"/>
      <w:sz w:val="22"/>
    </w:rPr>
  </w:style>
  <w:style w:type="paragraph" w:customStyle="1" w:styleId="Ultimoblocco">
    <w:name w:val="Ultimo blocco"/>
    <w:basedOn w:val="Intestazionemessaggio"/>
    <w:next w:val="Pagine"/>
    <w:qFormat/>
    <w:rsid w:val="002A613B"/>
    <w:pPr>
      <w:spacing w:after="360"/>
    </w:pPr>
  </w:style>
  <w:style w:type="paragraph" w:customStyle="1" w:styleId="Default">
    <w:name w:val="Default"/>
    <w:qFormat/>
    <w:rsid w:val="00FD6878"/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x15JlhnISDYgN3Gq70kIM5gk8YA==">AMUW2mUH02IlG3RLz+YD5EJw8BypTB0cOT9rJ/BE7qFd9hl29jZG4v6ayql1ibehaWw5duX8UPgk11Mi5pMwSl0830i6QTE6E7qjTRAD7xNzFpZ0LRo55KM=</go:docsCustomData>
</go:gDocsCustomXmlDataStorage>
</file>

<file path=customXml/itemProps1.xml><?xml version="1.0" encoding="utf-8"?>
<ds:datastoreItem xmlns:ds="http://schemas.openxmlformats.org/officeDocument/2006/customXml" ds:itemID="{27AF9EA2-7998-473D-9EF8-A5A2D2BAA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Signorino</dc:creator>
  <dc:description/>
  <cp:lastModifiedBy>Starcomunicazione</cp:lastModifiedBy>
  <cp:revision>3</cp:revision>
  <dcterms:created xsi:type="dcterms:W3CDTF">2026-04-02T09:34:00Z</dcterms:created>
  <dcterms:modified xsi:type="dcterms:W3CDTF">2026-04-02T09:34:00Z</dcterms:modified>
  <dc:language>it-IT</dc:language>
</cp:coreProperties>
</file>